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364B09" w14:textId="22C52087" w:rsidR="00944292" w:rsidRPr="007D45C0" w:rsidRDefault="00C426E3" w:rsidP="00C426E3">
      <w:pPr>
        <w:pStyle w:val="Titre2"/>
        <w:keepNext w:val="0"/>
        <w:keepLines w:val="0"/>
        <w:spacing w:before="280" w:after="0"/>
        <w:jc w:val="center"/>
        <w:rPr>
          <w:lang w:val="fr-CA"/>
        </w:rPr>
      </w:pPr>
      <w:r>
        <w:rPr>
          <w:lang w:val="fr-CA"/>
        </w:rPr>
        <w:t>Guide à l’intention des revues</w:t>
      </w:r>
      <w:r w:rsidR="007D45C0" w:rsidRPr="007D45C0">
        <w:rPr>
          <w:lang w:val="fr-CA"/>
        </w:rPr>
        <w:t xml:space="preserve"> pour la </w:t>
      </w:r>
      <w:r w:rsidR="007D45C0">
        <w:rPr>
          <w:lang w:val="fr-CA"/>
        </w:rPr>
        <w:t>rédaction</w:t>
      </w:r>
      <w:r w:rsidR="007D45C0" w:rsidRPr="007D45C0">
        <w:rPr>
          <w:lang w:val="fr-CA"/>
        </w:rPr>
        <w:t xml:space="preserve"> d</w:t>
      </w:r>
      <w:r w:rsidR="007D45C0">
        <w:rPr>
          <w:lang w:val="fr-CA"/>
        </w:rPr>
        <w:t>’un</w:t>
      </w:r>
      <w:r w:rsidR="00E11F8E">
        <w:rPr>
          <w:lang w:val="fr-CA"/>
        </w:rPr>
        <w:t>e</w:t>
      </w:r>
      <w:r w:rsidR="007D45C0" w:rsidRPr="007D45C0">
        <w:rPr>
          <w:lang w:val="fr-CA"/>
        </w:rPr>
        <w:t xml:space="preserve"> politique</w:t>
      </w:r>
      <w:r w:rsidR="007D45C0">
        <w:rPr>
          <w:lang w:val="fr-CA"/>
        </w:rPr>
        <w:t xml:space="preserve"> de données</w:t>
      </w:r>
    </w:p>
    <w:p w14:paraId="6FE98750" w14:textId="4ECAF61C" w:rsidR="0011668E" w:rsidRDefault="0011668E" w:rsidP="0011668E">
      <w:pPr>
        <w:rPr>
          <w:lang w:val="fr-CA"/>
        </w:rPr>
      </w:pPr>
    </w:p>
    <w:p w14:paraId="5B507ED7" w14:textId="77777777" w:rsidR="006D7825" w:rsidRPr="007D45C0" w:rsidRDefault="006D7825" w:rsidP="0011668E">
      <w:pPr>
        <w:rPr>
          <w:lang w:val="fr-CA"/>
        </w:rPr>
      </w:pPr>
    </w:p>
    <w:p w14:paraId="2418DFFE" w14:textId="33481A12" w:rsidR="0011668E" w:rsidRPr="006D7825" w:rsidRDefault="00DC2E4F" w:rsidP="006D7825">
      <w:pPr>
        <w:jc w:val="both"/>
        <w:rPr>
          <w:b/>
          <w:bCs/>
          <w:sz w:val="24"/>
          <w:szCs w:val="24"/>
          <w:lang w:val="fr-CA"/>
        </w:rPr>
      </w:pPr>
      <w:r w:rsidRPr="006D7825">
        <w:rPr>
          <w:b/>
          <w:bCs/>
          <w:sz w:val="24"/>
          <w:szCs w:val="24"/>
          <w:lang w:val="fr-CA"/>
        </w:rPr>
        <w:t xml:space="preserve">Le présent guide est disponible pour la réutilisation et la création d'œuvres dérivées, sous la licence Creative Commons Attribution (CC BY). Il est basé majoritairement sur les deux sources : </w:t>
      </w:r>
    </w:p>
    <w:p w14:paraId="0DEDD98C" w14:textId="2D5FE940" w:rsidR="0011668E" w:rsidRPr="00E11F8E" w:rsidRDefault="0011668E" w:rsidP="006D7825">
      <w:pPr>
        <w:pStyle w:val="Paragraphedeliste"/>
        <w:numPr>
          <w:ilvl w:val="0"/>
          <w:numId w:val="45"/>
        </w:numPr>
        <w:jc w:val="both"/>
        <w:rPr>
          <w:sz w:val="24"/>
          <w:szCs w:val="24"/>
          <w:lang w:val="fr-CA"/>
        </w:rPr>
      </w:pPr>
      <w:proofErr w:type="spellStart"/>
      <w:r w:rsidRPr="00E11F8E">
        <w:rPr>
          <w:sz w:val="24"/>
          <w:szCs w:val="24"/>
          <w:lang w:val="en-CA"/>
        </w:rPr>
        <w:t>Hrynaszkiewicz</w:t>
      </w:r>
      <w:proofErr w:type="spellEnd"/>
      <w:r w:rsidRPr="00E11F8E">
        <w:rPr>
          <w:sz w:val="24"/>
          <w:szCs w:val="24"/>
          <w:lang w:val="en-CA"/>
        </w:rPr>
        <w:t xml:space="preserve">, I, Simons, N, Hussain, A, Grant, R and Goudie, S. </w:t>
      </w:r>
      <w:r w:rsidR="00DC2E4F" w:rsidRPr="00E11F8E">
        <w:rPr>
          <w:sz w:val="24"/>
          <w:szCs w:val="24"/>
          <w:lang w:val="en-CA"/>
        </w:rPr>
        <w:t>(</w:t>
      </w:r>
      <w:r w:rsidRPr="00E11F8E">
        <w:rPr>
          <w:sz w:val="24"/>
          <w:szCs w:val="24"/>
          <w:lang w:val="en-CA"/>
        </w:rPr>
        <w:t>2020</w:t>
      </w:r>
      <w:r w:rsidR="00DC2E4F" w:rsidRPr="00E11F8E">
        <w:rPr>
          <w:sz w:val="24"/>
          <w:szCs w:val="24"/>
          <w:lang w:val="en-CA"/>
        </w:rPr>
        <w:t>)</w:t>
      </w:r>
      <w:r w:rsidRPr="00E11F8E">
        <w:rPr>
          <w:sz w:val="24"/>
          <w:szCs w:val="24"/>
          <w:lang w:val="en-CA"/>
        </w:rPr>
        <w:t xml:space="preserve">. </w:t>
      </w:r>
      <w:r w:rsidRPr="006D7825">
        <w:rPr>
          <w:sz w:val="24"/>
          <w:szCs w:val="24"/>
        </w:rPr>
        <w:t>Developing a</w:t>
      </w:r>
      <w:r w:rsidR="00DC2E4F" w:rsidRPr="006D7825">
        <w:rPr>
          <w:sz w:val="24"/>
          <w:szCs w:val="24"/>
        </w:rPr>
        <w:t xml:space="preserve"> </w:t>
      </w:r>
      <w:r w:rsidRPr="006D7825">
        <w:rPr>
          <w:sz w:val="24"/>
          <w:szCs w:val="24"/>
        </w:rPr>
        <w:t xml:space="preserve">Research Data Policy Framework for All Journals and Publishers. </w:t>
      </w:r>
      <w:r w:rsidRPr="006D7825">
        <w:rPr>
          <w:i/>
          <w:iCs/>
          <w:sz w:val="24"/>
          <w:szCs w:val="24"/>
          <w:lang w:val="fr-CA"/>
        </w:rPr>
        <w:t>Data Science Journal</w:t>
      </w:r>
      <w:r w:rsidRPr="006D7825">
        <w:rPr>
          <w:sz w:val="24"/>
          <w:szCs w:val="24"/>
          <w:lang w:val="fr-CA"/>
        </w:rPr>
        <w:t xml:space="preserve">, DOI: </w:t>
      </w:r>
      <w:hyperlink r:id="rId7" w:history="1">
        <w:r w:rsidR="00D93303" w:rsidRPr="006D7825">
          <w:rPr>
            <w:rStyle w:val="Lienhypertexte"/>
            <w:sz w:val="24"/>
            <w:szCs w:val="24"/>
            <w:lang w:val="fr-CA"/>
          </w:rPr>
          <w:t>http://doi.org/10.5334/dsj-2020-005</w:t>
        </w:r>
      </w:hyperlink>
      <w:r w:rsidR="00DC2E4F" w:rsidRPr="006D7825">
        <w:rPr>
          <w:sz w:val="24"/>
          <w:szCs w:val="24"/>
          <w:lang w:val="fr-CA"/>
        </w:rPr>
        <w:t xml:space="preserve"> (surtout l’annexe)</w:t>
      </w:r>
    </w:p>
    <w:p w14:paraId="2780ED24" w14:textId="126053C4" w:rsidR="00DC2E4F" w:rsidRPr="006D7825" w:rsidRDefault="00DC2E4F" w:rsidP="006D7825">
      <w:pPr>
        <w:pStyle w:val="Paragraphedeliste"/>
        <w:numPr>
          <w:ilvl w:val="0"/>
          <w:numId w:val="45"/>
        </w:numPr>
        <w:jc w:val="both"/>
        <w:rPr>
          <w:sz w:val="24"/>
          <w:szCs w:val="24"/>
          <w:lang w:val="fr-CA"/>
        </w:rPr>
      </w:pPr>
      <w:r w:rsidRPr="006D7825">
        <w:rPr>
          <w:sz w:val="24"/>
          <w:szCs w:val="24"/>
          <w:lang w:val="fr-CA"/>
        </w:rPr>
        <w:t xml:space="preserve">Féret, R., Gouzi, F., </w:t>
      </w:r>
      <w:proofErr w:type="spellStart"/>
      <w:r w:rsidRPr="006D7825">
        <w:rPr>
          <w:sz w:val="24"/>
          <w:szCs w:val="24"/>
          <w:lang w:val="fr-CA"/>
        </w:rPr>
        <w:t>Guigonis</w:t>
      </w:r>
      <w:proofErr w:type="spellEnd"/>
      <w:r w:rsidRPr="006D7825">
        <w:rPr>
          <w:sz w:val="24"/>
          <w:szCs w:val="24"/>
          <w:lang w:val="fr-CA"/>
        </w:rPr>
        <w:t xml:space="preserve">, S., Jouguet, H., </w:t>
      </w:r>
      <w:proofErr w:type="spellStart"/>
      <w:r w:rsidRPr="006D7825">
        <w:rPr>
          <w:sz w:val="24"/>
          <w:szCs w:val="24"/>
          <w:lang w:val="fr-CA"/>
        </w:rPr>
        <w:t>Larrousse</w:t>
      </w:r>
      <w:proofErr w:type="spellEnd"/>
      <w:r w:rsidRPr="006D7825">
        <w:rPr>
          <w:sz w:val="24"/>
          <w:szCs w:val="24"/>
          <w:lang w:val="fr-CA"/>
        </w:rPr>
        <w:t xml:space="preserve">, N. et Thomas, A. (2021). </w:t>
      </w:r>
      <w:r w:rsidRPr="006D7825">
        <w:rPr>
          <w:i/>
          <w:iCs/>
          <w:sz w:val="24"/>
          <w:szCs w:val="24"/>
          <w:lang w:val="fr-CA"/>
        </w:rPr>
        <w:t>Recommandations aux revues souhaitant définir une « politique de données » liées aux publications</w:t>
      </w:r>
      <w:r w:rsidRPr="006D7825">
        <w:rPr>
          <w:sz w:val="24"/>
          <w:szCs w:val="24"/>
          <w:lang w:val="fr-CA"/>
        </w:rPr>
        <w:t xml:space="preserve">. Collège Donnée de la recherche du Comité pour la science ouverte. 2021. </w:t>
      </w:r>
      <w:hyperlink r:id="rId8" w:history="1">
        <w:r w:rsidRPr="006D7825">
          <w:rPr>
            <w:rStyle w:val="Lienhypertexte"/>
            <w:sz w:val="24"/>
            <w:szCs w:val="24"/>
            <w:lang w:val="fr-CA"/>
          </w:rPr>
          <w:t>https://www.ouvrirlascience.fr/recommandations-aux-revues-souhaitant-definir-une-politique-de-donnees-liees-aux-publications/</w:t>
        </w:r>
      </w:hyperlink>
      <w:r w:rsidRPr="006D7825">
        <w:rPr>
          <w:sz w:val="24"/>
          <w:szCs w:val="24"/>
          <w:lang w:val="fr-CA"/>
        </w:rPr>
        <w:t xml:space="preserve"> </w:t>
      </w:r>
    </w:p>
    <w:p w14:paraId="11094D05" w14:textId="77777777" w:rsidR="00C426E3" w:rsidRPr="006D7825" w:rsidRDefault="00C426E3" w:rsidP="006D7825">
      <w:pPr>
        <w:jc w:val="both"/>
        <w:rPr>
          <w:sz w:val="24"/>
          <w:szCs w:val="24"/>
          <w:lang w:val="fr-CA"/>
        </w:rPr>
      </w:pPr>
    </w:p>
    <w:p w14:paraId="2207500B" w14:textId="36F200EB" w:rsidR="00DC2E4F" w:rsidRPr="006D7825" w:rsidRDefault="00C426E3" w:rsidP="006D7825">
      <w:pPr>
        <w:jc w:val="both"/>
        <w:rPr>
          <w:b/>
          <w:bCs/>
          <w:sz w:val="24"/>
          <w:szCs w:val="24"/>
          <w:lang w:val="fr-CA"/>
        </w:rPr>
      </w:pPr>
      <w:r w:rsidRPr="006D7825">
        <w:rPr>
          <w:b/>
          <w:bCs/>
          <w:sz w:val="24"/>
          <w:szCs w:val="24"/>
          <w:lang w:val="fr-CA"/>
        </w:rPr>
        <w:t>Citer ce document</w:t>
      </w:r>
    </w:p>
    <w:p w14:paraId="7D19FCE7" w14:textId="02414A7E" w:rsidR="00C426E3" w:rsidRPr="006D7825" w:rsidRDefault="00C426E3" w:rsidP="006D7825">
      <w:pPr>
        <w:jc w:val="both"/>
        <w:rPr>
          <w:sz w:val="24"/>
          <w:szCs w:val="24"/>
          <w:lang w:val="fr-CA"/>
        </w:rPr>
      </w:pPr>
      <w:r w:rsidRPr="006D7825">
        <w:rPr>
          <w:sz w:val="24"/>
          <w:szCs w:val="24"/>
          <w:lang w:val="fr-CA"/>
        </w:rPr>
        <w:t xml:space="preserve">Lisée. C. (2021). </w:t>
      </w:r>
      <w:r w:rsidRPr="006D7825">
        <w:rPr>
          <w:i/>
          <w:iCs/>
          <w:sz w:val="24"/>
          <w:szCs w:val="24"/>
          <w:lang w:val="fr-CA"/>
        </w:rPr>
        <w:t>Guide à l’intention des revues pour la rédaction d’un gabarit de politique de données</w:t>
      </w:r>
      <w:r w:rsidRPr="006D7825">
        <w:rPr>
          <w:sz w:val="24"/>
          <w:szCs w:val="24"/>
          <w:lang w:val="fr-CA"/>
        </w:rPr>
        <w:t>. Services du soutien à la recherche du Service des bibliothèques de l’UQAM.</w:t>
      </w:r>
    </w:p>
    <w:p w14:paraId="212D3429" w14:textId="3A1EE2CF" w:rsidR="00C426E3" w:rsidRDefault="00C426E3" w:rsidP="006D7825">
      <w:pPr>
        <w:jc w:val="both"/>
        <w:rPr>
          <w:sz w:val="24"/>
          <w:szCs w:val="24"/>
          <w:lang w:val="fr-CA"/>
        </w:rPr>
      </w:pPr>
    </w:p>
    <w:p w14:paraId="4DEFFDD5" w14:textId="77777777" w:rsidR="006D7825" w:rsidRPr="006D7825" w:rsidRDefault="006D7825" w:rsidP="006D7825">
      <w:pPr>
        <w:jc w:val="both"/>
        <w:rPr>
          <w:sz w:val="24"/>
          <w:szCs w:val="24"/>
          <w:lang w:val="fr-CA"/>
        </w:rPr>
      </w:pPr>
    </w:p>
    <w:p w14:paraId="618F33A4" w14:textId="742D80EC" w:rsidR="00DC2E4F" w:rsidRPr="006D7825" w:rsidRDefault="00DC2E4F" w:rsidP="006D7825">
      <w:pPr>
        <w:jc w:val="both"/>
        <w:rPr>
          <w:b/>
          <w:bCs/>
          <w:sz w:val="24"/>
          <w:szCs w:val="24"/>
          <w:lang w:val="fr-CA"/>
        </w:rPr>
      </w:pPr>
      <w:r w:rsidRPr="006D7825">
        <w:rPr>
          <w:b/>
          <w:bCs/>
          <w:sz w:val="24"/>
          <w:szCs w:val="24"/>
          <w:lang w:val="fr-CA"/>
        </w:rPr>
        <w:t>Introduction</w:t>
      </w:r>
    </w:p>
    <w:p w14:paraId="4683BCDB" w14:textId="0D967EE8" w:rsidR="00D93303" w:rsidRPr="006D7825" w:rsidRDefault="00D93303" w:rsidP="006D7825">
      <w:pPr>
        <w:jc w:val="both"/>
        <w:rPr>
          <w:sz w:val="24"/>
          <w:szCs w:val="24"/>
          <w:lang w:val="fr-CA"/>
        </w:rPr>
      </w:pPr>
      <w:r w:rsidRPr="006D7825">
        <w:rPr>
          <w:sz w:val="24"/>
          <w:szCs w:val="24"/>
          <w:lang w:val="fr-CA"/>
        </w:rPr>
        <w:t>Une politique des données clarifie ce que la revue attend de ses auteurs relativement à la gestion et la diffusion des données de recherche associées aux publications de la revue.</w:t>
      </w:r>
    </w:p>
    <w:p w14:paraId="7A584D3E" w14:textId="77777777" w:rsidR="00D93303" w:rsidRPr="006D7825" w:rsidRDefault="00D93303" w:rsidP="006D7825">
      <w:pPr>
        <w:jc w:val="both"/>
        <w:rPr>
          <w:sz w:val="24"/>
          <w:szCs w:val="24"/>
          <w:lang w:val="fr-CA"/>
        </w:rPr>
      </w:pPr>
    </w:p>
    <w:p w14:paraId="46F0F84C" w14:textId="2ADEAECB" w:rsidR="00D93303" w:rsidRPr="006D7825" w:rsidRDefault="00D93303" w:rsidP="006D7825">
      <w:pPr>
        <w:jc w:val="both"/>
        <w:rPr>
          <w:sz w:val="24"/>
          <w:szCs w:val="24"/>
          <w:lang w:val="fr-CA"/>
        </w:rPr>
      </w:pPr>
      <w:r w:rsidRPr="006D7825">
        <w:rPr>
          <w:sz w:val="24"/>
          <w:szCs w:val="24"/>
          <w:lang w:val="fr-CA"/>
        </w:rPr>
        <w:t>Des typologies existantes peuvent servir d’appui pour la mise en place d’une politique de données. Par exemple, le groupe Springer Nature</w:t>
      </w:r>
      <w:r w:rsidRPr="006D7825">
        <w:rPr>
          <w:rStyle w:val="Appelnotedebasdep"/>
          <w:sz w:val="24"/>
          <w:szCs w:val="24"/>
        </w:rPr>
        <w:footnoteReference w:id="1"/>
      </w:r>
      <w:r w:rsidRPr="006D7825">
        <w:rPr>
          <w:sz w:val="24"/>
          <w:szCs w:val="24"/>
          <w:lang w:val="fr-CA"/>
        </w:rPr>
        <w:t xml:space="preserve"> propose quatre types de politiques pour ses revues dont les gabarits peuvent être très utiles. Pour obtenir un portrait plus complet du contenu d’une politique de données et de l’articulation de ses éléments, il est utile de se référer à la typologie de la </w:t>
      </w:r>
      <w:proofErr w:type="spellStart"/>
      <w:r w:rsidRPr="006D7825">
        <w:rPr>
          <w:sz w:val="24"/>
          <w:szCs w:val="24"/>
          <w:lang w:val="fr-CA"/>
        </w:rPr>
        <w:t>Research</w:t>
      </w:r>
      <w:proofErr w:type="spellEnd"/>
      <w:r w:rsidRPr="006D7825">
        <w:rPr>
          <w:sz w:val="24"/>
          <w:szCs w:val="24"/>
          <w:lang w:val="fr-CA"/>
        </w:rPr>
        <w:t xml:space="preserve"> Data Alliance</w:t>
      </w:r>
      <w:r w:rsidRPr="006D7825">
        <w:rPr>
          <w:rStyle w:val="Appelnotedebasdep"/>
          <w:sz w:val="24"/>
          <w:szCs w:val="24"/>
        </w:rPr>
        <w:footnoteReference w:id="2"/>
      </w:r>
      <w:r w:rsidRPr="006D7825">
        <w:rPr>
          <w:sz w:val="24"/>
          <w:szCs w:val="24"/>
          <w:lang w:val="fr-CA"/>
        </w:rPr>
        <w:t xml:space="preserve"> qui regroupe les politiques selon 6 </w:t>
      </w:r>
      <w:r w:rsidR="00470A8D" w:rsidRPr="006D7825">
        <w:rPr>
          <w:sz w:val="24"/>
          <w:szCs w:val="24"/>
          <w:lang w:val="fr-CA"/>
        </w:rPr>
        <w:t>typ</w:t>
      </w:r>
      <w:r w:rsidRPr="006D7825">
        <w:rPr>
          <w:sz w:val="24"/>
          <w:szCs w:val="24"/>
          <w:lang w:val="fr-CA"/>
        </w:rPr>
        <w:t>es couvrant plus ou moins activement 14 caractéristiques.</w:t>
      </w:r>
    </w:p>
    <w:p w14:paraId="3BE46B8D" w14:textId="69F55258" w:rsidR="006D7825" w:rsidRDefault="006D7825">
      <w:pPr>
        <w:rPr>
          <w:lang w:val="fr-CA"/>
        </w:rPr>
      </w:pPr>
      <w:r>
        <w:rPr>
          <w:lang w:val="fr-CA"/>
        </w:rPr>
        <w:br w:type="page"/>
      </w:r>
    </w:p>
    <w:p w14:paraId="7F84CF0B" w14:textId="19B6FB2D" w:rsidR="006D7825" w:rsidRDefault="006D7825" w:rsidP="00D93303">
      <w:pPr>
        <w:rPr>
          <w:lang w:val="fr-CA"/>
        </w:rPr>
      </w:pPr>
      <w:r>
        <w:rPr>
          <w:lang w:val="fr-CA"/>
        </w:rPr>
        <w:lastRenderedPageBreak/>
        <w:t xml:space="preserve">Le présent document présente des textes de références à réutiliser </w:t>
      </w:r>
      <w:proofErr w:type="gramStart"/>
      <w:r>
        <w:rPr>
          <w:lang w:val="fr-CA"/>
        </w:rPr>
        <w:t>ou</w:t>
      </w:r>
      <w:r w:rsidR="004165B3">
        <w:rPr>
          <w:lang w:val="fr-CA"/>
        </w:rPr>
        <w:t xml:space="preserve"> </w:t>
      </w:r>
      <w:r>
        <w:rPr>
          <w:lang w:val="fr-CA"/>
        </w:rPr>
        <w:t xml:space="preserve"> </w:t>
      </w:r>
      <w:r w:rsidR="004165B3">
        <w:rPr>
          <w:lang w:val="fr-CA"/>
        </w:rPr>
        <w:t>a</w:t>
      </w:r>
      <w:r>
        <w:rPr>
          <w:lang w:val="fr-CA"/>
        </w:rPr>
        <w:t>d</w:t>
      </w:r>
      <w:r w:rsidR="004165B3">
        <w:rPr>
          <w:lang w:val="fr-CA"/>
        </w:rPr>
        <w:t>ap</w:t>
      </w:r>
      <w:r>
        <w:rPr>
          <w:lang w:val="fr-CA"/>
        </w:rPr>
        <w:t>ter</w:t>
      </w:r>
      <w:proofErr w:type="gramEnd"/>
      <w:r>
        <w:rPr>
          <w:lang w:val="fr-CA"/>
        </w:rPr>
        <w:t xml:space="preserve"> en fonction des orientations choisies par la revue pour les rubriques de contenu suivantes :</w:t>
      </w:r>
    </w:p>
    <w:p w14:paraId="05918D1C" w14:textId="77777777" w:rsidR="004165B3" w:rsidRDefault="004165B3" w:rsidP="00D93303">
      <w:pPr>
        <w:rPr>
          <w:lang w:val="fr-CA"/>
        </w:rPr>
      </w:pPr>
    </w:p>
    <w:p w14:paraId="04C8912B" w14:textId="77777777" w:rsidR="006D7825" w:rsidRPr="002A478F" w:rsidRDefault="006D7825" w:rsidP="006D7825">
      <w:pPr>
        <w:ind w:left="720"/>
        <w:jc w:val="both"/>
        <w:rPr>
          <w:b/>
          <w:bCs/>
          <w:color w:val="000000"/>
          <w:lang w:val="fr-CA"/>
        </w:rPr>
      </w:pPr>
      <w:r>
        <w:rPr>
          <w:b/>
          <w:bCs/>
          <w:color w:val="000000"/>
          <w:lang w:val="fr-CA"/>
        </w:rPr>
        <w:t>Résumé de la politique</w:t>
      </w:r>
    </w:p>
    <w:p w14:paraId="4E54405F" w14:textId="07A4D63C" w:rsidR="006D7825" w:rsidRDefault="006D7825" w:rsidP="006D7825">
      <w:pPr>
        <w:ind w:left="720"/>
        <w:rPr>
          <w:color w:val="000000"/>
          <w:lang w:val="fr-CA"/>
        </w:rPr>
      </w:pPr>
      <w:r>
        <w:rPr>
          <w:color w:val="000000"/>
          <w:lang w:val="fr-CA"/>
        </w:rPr>
        <w:t>Voir les tableaux 1 ou 2</w:t>
      </w:r>
    </w:p>
    <w:p w14:paraId="59BB774A" w14:textId="77777777" w:rsidR="006D7825" w:rsidRDefault="006D7825" w:rsidP="006D7825">
      <w:pPr>
        <w:ind w:left="720"/>
        <w:rPr>
          <w:color w:val="000000"/>
          <w:lang w:val="fr-CA"/>
        </w:rPr>
      </w:pPr>
    </w:p>
    <w:p w14:paraId="11365934" w14:textId="77777777" w:rsidR="006D7825" w:rsidRPr="00DA7CA1" w:rsidRDefault="006D7825" w:rsidP="006D7825">
      <w:pPr>
        <w:ind w:left="720"/>
        <w:rPr>
          <w:b/>
          <w:bCs/>
          <w:color w:val="000000"/>
          <w:lang w:val="fr-CA"/>
        </w:rPr>
      </w:pPr>
      <w:r w:rsidRPr="00DA7CA1">
        <w:rPr>
          <w:b/>
          <w:bCs/>
          <w:color w:val="000000"/>
          <w:lang w:val="fr-CA"/>
        </w:rPr>
        <w:t>Portée de la portée</w:t>
      </w:r>
    </w:p>
    <w:p w14:paraId="6D08C773" w14:textId="77777777" w:rsidR="006D7825" w:rsidRDefault="006D7825" w:rsidP="006D7825">
      <w:pPr>
        <w:ind w:left="720"/>
        <w:rPr>
          <w:color w:val="000000"/>
          <w:lang w:val="fr-CA"/>
        </w:rPr>
      </w:pPr>
      <w:r>
        <w:rPr>
          <w:color w:val="000000"/>
          <w:lang w:val="fr-CA"/>
        </w:rPr>
        <w:t>Définition de données de recherche et définition des exceptions</w:t>
      </w:r>
    </w:p>
    <w:p w14:paraId="04D88363" w14:textId="77777777" w:rsidR="006D7825" w:rsidRDefault="006D7825" w:rsidP="006D7825">
      <w:pPr>
        <w:ind w:left="720"/>
        <w:rPr>
          <w:color w:val="000000"/>
          <w:lang w:val="fr-CA"/>
        </w:rPr>
      </w:pPr>
    </w:p>
    <w:p w14:paraId="01352324" w14:textId="77777777" w:rsidR="006D7825" w:rsidRPr="00DA7CA1" w:rsidRDefault="006D7825" w:rsidP="006D7825">
      <w:pPr>
        <w:ind w:left="720"/>
        <w:rPr>
          <w:b/>
          <w:bCs/>
          <w:color w:val="000000"/>
          <w:lang w:val="fr-CA"/>
        </w:rPr>
      </w:pPr>
      <w:r w:rsidRPr="00DA7CA1">
        <w:rPr>
          <w:b/>
          <w:bCs/>
          <w:color w:val="000000"/>
          <w:lang w:val="fr-CA"/>
        </w:rPr>
        <w:t>Partage des données</w:t>
      </w:r>
    </w:p>
    <w:p w14:paraId="6E91DC10" w14:textId="77777777" w:rsidR="006D7825" w:rsidRDefault="006D7825" w:rsidP="006D7825">
      <w:pPr>
        <w:ind w:left="720"/>
        <w:rPr>
          <w:color w:val="000000"/>
          <w:lang w:val="fr-CA"/>
        </w:rPr>
      </w:pPr>
      <w:r>
        <w:rPr>
          <w:color w:val="000000"/>
          <w:lang w:val="fr-CA"/>
        </w:rPr>
        <w:t>Matériel supplémentaire</w:t>
      </w:r>
    </w:p>
    <w:p w14:paraId="6CB456A9" w14:textId="77777777" w:rsidR="006D7825" w:rsidRDefault="006D7825" w:rsidP="006D7825">
      <w:pPr>
        <w:ind w:left="720"/>
        <w:rPr>
          <w:color w:val="000000"/>
          <w:lang w:val="fr-CA"/>
        </w:rPr>
      </w:pPr>
      <w:r>
        <w:rPr>
          <w:color w:val="000000"/>
          <w:lang w:val="fr-CA"/>
        </w:rPr>
        <w:t>Partage de documents spécifiques</w:t>
      </w:r>
    </w:p>
    <w:p w14:paraId="5D6D78B8" w14:textId="77777777" w:rsidR="006D7825" w:rsidRDefault="006D7825" w:rsidP="006D7825">
      <w:pPr>
        <w:ind w:left="720"/>
        <w:rPr>
          <w:color w:val="000000"/>
          <w:lang w:val="fr-CA"/>
        </w:rPr>
      </w:pPr>
      <w:r>
        <w:rPr>
          <w:color w:val="000000"/>
          <w:lang w:val="fr-CA"/>
        </w:rPr>
        <w:t>Partage dans les dépôts</w:t>
      </w:r>
    </w:p>
    <w:p w14:paraId="4BBD1744" w14:textId="77777777" w:rsidR="006D7825" w:rsidRDefault="006D7825" w:rsidP="006D7825">
      <w:pPr>
        <w:ind w:left="720"/>
        <w:rPr>
          <w:color w:val="000000"/>
          <w:lang w:val="fr-CA"/>
        </w:rPr>
      </w:pPr>
      <w:r w:rsidRPr="000577C6">
        <w:rPr>
          <w:color w:val="000000"/>
          <w:lang w:val="fr-CA"/>
        </w:rPr>
        <w:t>Formats et standards de données</w:t>
      </w:r>
    </w:p>
    <w:p w14:paraId="30325F2D" w14:textId="77777777" w:rsidR="006D7825" w:rsidRDefault="006D7825" w:rsidP="006D7825">
      <w:pPr>
        <w:ind w:left="720"/>
        <w:rPr>
          <w:color w:val="000000"/>
          <w:lang w:val="fr-CA"/>
        </w:rPr>
      </w:pPr>
      <w:r>
        <w:rPr>
          <w:color w:val="000000"/>
          <w:lang w:val="fr-CA"/>
        </w:rPr>
        <w:t>Citations des données</w:t>
      </w:r>
    </w:p>
    <w:p w14:paraId="177A022A" w14:textId="77777777" w:rsidR="006D7825" w:rsidRDefault="006D7825" w:rsidP="006D7825">
      <w:pPr>
        <w:ind w:left="720"/>
        <w:rPr>
          <w:color w:val="000000"/>
          <w:lang w:val="fr-CA"/>
        </w:rPr>
      </w:pPr>
      <w:r>
        <w:rPr>
          <w:color w:val="000000"/>
          <w:lang w:val="fr-CA"/>
        </w:rPr>
        <w:t>Plans de gestion des données</w:t>
      </w:r>
    </w:p>
    <w:p w14:paraId="3EB1BD4E" w14:textId="77777777" w:rsidR="006D7825" w:rsidRDefault="006D7825" w:rsidP="006D7825">
      <w:pPr>
        <w:ind w:left="720"/>
        <w:rPr>
          <w:color w:val="000000"/>
          <w:lang w:val="fr-CA"/>
        </w:rPr>
      </w:pPr>
    </w:p>
    <w:p w14:paraId="43B82E14" w14:textId="77777777" w:rsidR="006D7825" w:rsidRPr="00DA7CA1" w:rsidRDefault="006D7825" w:rsidP="006D7825">
      <w:pPr>
        <w:ind w:left="720"/>
        <w:rPr>
          <w:b/>
          <w:bCs/>
          <w:color w:val="000000"/>
          <w:lang w:val="fr-CA"/>
        </w:rPr>
      </w:pPr>
      <w:r w:rsidRPr="00DA7CA1">
        <w:rPr>
          <w:b/>
          <w:bCs/>
          <w:color w:val="000000"/>
          <w:lang w:val="fr-CA"/>
        </w:rPr>
        <w:t xml:space="preserve">Accessibilité </w:t>
      </w:r>
      <w:r>
        <w:rPr>
          <w:b/>
          <w:bCs/>
          <w:color w:val="000000"/>
          <w:lang w:val="fr-CA"/>
        </w:rPr>
        <w:t xml:space="preserve">et utilisation </w:t>
      </w:r>
      <w:r w:rsidRPr="00DA7CA1">
        <w:rPr>
          <w:b/>
          <w:bCs/>
          <w:color w:val="000000"/>
          <w:lang w:val="fr-CA"/>
        </w:rPr>
        <w:t>des données</w:t>
      </w:r>
    </w:p>
    <w:p w14:paraId="0BCC9FD1" w14:textId="77777777" w:rsidR="006D7825" w:rsidRDefault="006D7825" w:rsidP="006D7825">
      <w:pPr>
        <w:ind w:left="720"/>
        <w:rPr>
          <w:color w:val="000000"/>
          <w:lang w:val="fr-CA"/>
        </w:rPr>
      </w:pPr>
      <w:r>
        <w:rPr>
          <w:color w:val="000000"/>
          <w:lang w:val="fr-CA"/>
        </w:rPr>
        <w:t>Déclaration d’accessibilité des données</w:t>
      </w:r>
    </w:p>
    <w:p w14:paraId="441BD3A4" w14:textId="77777777" w:rsidR="006D7825" w:rsidRDefault="006D7825" w:rsidP="006D7825">
      <w:pPr>
        <w:ind w:left="720"/>
        <w:rPr>
          <w:color w:val="000000"/>
          <w:lang w:val="fr-CA"/>
        </w:rPr>
      </w:pPr>
      <w:r>
        <w:rPr>
          <w:color w:val="000000"/>
          <w:lang w:val="fr-CA"/>
        </w:rPr>
        <w:t>Embargo</w:t>
      </w:r>
    </w:p>
    <w:p w14:paraId="7A9315B0" w14:textId="77777777" w:rsidR="006D7825" w:rsidRDefault="006D7825" w:rsidP="006D7825">
      <w:pPr>
        <w:ind w:left="720"/>
        <w:rPr>
          <w:color w:val="000000"/>
          <w:lang w:val="fr-CA"/>
        </w:rPr>
      </w:pPr>
      <w:r>
        <w:rPr>
          <w:color w:val="000000"/>
          <w:lang w:val="fr-CA"/>
        </w:rPr>
        <w:t>Licences de données</w:t>
      </w:r>
    </w:p>
    <w:p w14:paraId="77B3FC57" w14:textId="77777777" w:rsidR="006D7825" w:rsidRDefault="006D7825" w:rsidP="006D7825">
      <w:pPr>
        <w:ind w:left="720"/>
        <w:rPr>
          <w:color w:val="000000"/>
          <w:lang w:val="fr-CA"/>
        </w:rPr>
      </w:pPr>
    </w:p>
    <w:p w14:paraId="4EE49C1A" w14:textId="77777777" w:rsidR="006D7825" w:rsidRPr="006133CE" w:rsidRDefault="006D7825" w:rsidP="006D7825">
      <w:pPr>
        <w:ind w:left="720"/>
        <w:rPr>
          <w:b/>
          <w:bCs/>
          <w:color w:val="000000"/>
          <w:lang w:val="fr-CA"/>
        </w:rPr>
      </w:pPr>
      <w:r w:rsidRPr="006133CE">
        <w:rPr>
          <w:b/>
          <w:bCs/>
          <w:color w:val="000000"/>
          <w:lang w:val="fr-CA"/>
        </w:rPr>
        <w:t>Révision par les pairs</w:t>
      </w:r>
    </w:p>
    <w:p w14:paraId="33456D15" w14:textId="77777777" w:rsidR="006D7825" w:rsidRDefault="006D7825" w:rsidP="006D7825">
      <w:pPr>
        <w:ind w:left="720"/>
        <w:rPr>
          <w:color w:val="000000"/>
          <w:lang w:val="fr-CA"/>
        </w:rPr>
      </w:pPr>
      <w:r>
        <w:rPr>
          <w:color w:val="000000"/>
          <w:lang w:val="fr-CA"/>
        </w:rPr>
        <w:t>Conformité à la politique</w:t>
      </w:r>
    </w:p>
    <w:p w14:paraId="09769E17" w14:textId="77777777" w:rsidR="006D7825" w:rsidRDefault="006D7825" w:rsidP="006D7825">
      <w:pPr>
        <w:ind w:left="720"/>
        <w:rPr>
          <w:color w:val="000000"/>
          <w:lang w:val="fr-CA"/>
        </w:rPr>
      </w:pPr>
      <w:r>
        <w:rPr>
          <w:color w:val="000000"/>
          <w:lang w:val="fr-CA"/>
        </w:rPr>
        <w:t>Fichiers de données</w:t>
      </w:r>
    </w:p>
    <w:p w14:paraId="269B9B91" w14:textId="77777777" w:rsidR="006D7825" w:rsidRDefault="006D7825" w:rsidP="006D7825">
      <w:pPr>
        <w:ind w:left="720"/>
        <w:rPr>
          <w:color w:val="000000"/>
          <w:lang w:val="fr-CA"/>
        </w:rPr>
      </w:pPr>
    </w:p>
    <w:p w14:paraId="3AABE0E5" w14:textId="77777777" w:rsidR="006D7825" w:rsidRPr="00F942EF" w:rsidRDefault="006D7825" w:rsidP="006D7825">
      <w:pPr>
        <w:ind w:left="720"/>
        <w:rPr>
          <w:b/>
          <w:bCs/>
          <w:lang w:val="fr-CA"/>
        </w:rPr>
      </w:pPr>
      <w:r>
        <w:rPr>
          <w:b/>
          <w:bCs/>
          <w:lang w:val="fr-CA"/>
        </w:rPr>
        <w:t>Contact</w:t>
      </w:r>
    </w:p>
    <w:p w14:paraId="6EDF7526" w14:textId="77777777" w:rsidR="006D7825" w:rsidRPr="001443A7" w:rsidRDefault="006D7825" w:rsidP="006D7825">
      <w:pPr>
        <w:ind w:left="720"/>
        <w:rPr>
          <w:color w:val="000000"/>
          <w:lang w:val="fr-CA"/>
        </w:rPr>
      </w:pPr>
      <w:r>
        <w:rPr>
          <w:color w:val="000000"/>
          <w:lang w:val="fr-CA"/>
        </w:rPr>
        <w:t>Soutien aux chercheurs, évaluateurs et aux auteurs</w:t>
      </w:r>
    </w:p>
    <w:p w14:paraId="6AEE2E0D" w14:textId="61D65465" w:rsidR="006D7825" w:rsidRDefault="006D7825" w:rsidP="00D93303">
      <w:pPr>
        <w:rPr>
          <w:lang w:val="fr-CA"/>
        </w:rPr>
      </w:pPr>
    </w:p>
    <w:p w14:paraId="76709702" w14:textId="6024FA06" w:rsidR="00D47943" w:rsidRDefault="00D47943" w:rsidP="00D93303">
      <w:pPr>
        <w:rPr>
          <w:lang w:val="fr-CA"/>
        </w:rPr>
      </w:pPr>
      <w:r>
        <w:rPr>
          <w:lang w:val="fr-CA"/>
        </w:rPr>
        <w:t>Les textes de références sont regroupés selon que leur contenu est potentiellement identique à tous les six types de politiques ou selon qu’un partage de données soit facultatif (Types 1,2 et 3) ou obligatoire (types 4,5 et 6).</w:t>
      </w:r>
    </w:p>
    <w:p w14:paraId="4083A92E" w14:textId="15FE32D7" w:rsidR="00D47943" w:rsidRDefault="00D47943" w:rsidP="00D93303">
      <w:pPr>
        <w:rPr>
          <w:lang w:val="fr-CA"/>
        </w:rPr>
      </w:pPr>
    </w:p>
    <w:p w14:paraId="53F10F83" w14:textId="1312CDEE" w:rsidR="00D47943" w:rsidRPr="00D93303" w:rsidRDefault="00D47943" w:rsidP="00D93303">
      <w:pPr>
        <w:rPr>
          <w:lang w:val="fr-CA"/>
        </w:rPr>
      </w:pPr>
      <w:r>
        <w:rPr>
          <w:lang w:val="fr-CA"/>
        </w:rPr>
        <w:t>Lorsqu’une formulation comporte une variante, la mention (</w:t>
      </w:r>
      <w:r w:rsidRPr="00D47943">
        <w:rPr>
          <w:b/>
          <w:bCs/>
          <w:lang w:val="fr-CA"/>
        </w:rPr>
        <w:t>Note :</w:t>
      </w:r>
      <w:r>
        <w:rPr>
          <w:lang w:val="fr-CA"/>
        </w:rPr>
        <w:t xml:space="preserve"> Politique type x) suit le texte concerné, parfois précédé de « // » si la nuance n’est que sur quelques mots dans un paragraphe. Quand il n’y a pas de mention, c’est que le paragraphe s’applique au groupe de politiques.</w:t>
      </w:r>
    </w:p>
    <w:p w14:paraId="3327DFC7" w14:textId="5372D13E" w:rsidR="00D47943" w:rsidRDefault="00D47943">
      <w:pPr>
        <w:rPr>
          <w:lang w:val="fr-CA"/>
        </w:rPr>
      </w:pPr>
      <w:r>
        <w:rPr>
          <w:lang w:val="fr-CA"/>
        </w:rPr>
        <w:br w:type="page"/>
      </w:r>
    </w:p>
    <w:p w14:paraId="76D210AF" w14:textId="4BAEA5A9" w:rsidR="00D93303" w:rsidRPr="00D47943" w:rsidRDefault="00D47943" w:rsidP="00D47943">
      <w:pPr>
        <w:shd w:val="clear" w:color="auto" w:fill="000000" w:themeFill="text1"/>
        <w:rPr>
          <w:b/>
          <w:bCs/>
          <w:color w:val="FFFFFF" w:themeColor="background1"/>
          <w:lang w:val="fr-CA"/>
        </w:rPr>
      </w:pPr>
      <w:r w:rsidRPr="00D47943">
        <w:rPr>
          <w:b/>
          <w:bCs/>
          <w:color w:val="FFFFFF" w:themeColor="background1"/>
          <w:lang w:val="fr-CA"/>
        </w:rPr>
        <w:lastRenderedPageBreak/>
        <w:t>TOUTES LES TYPES DE POLITIQUES</w:t>
      </w:r>
    </w:p>
    <w:p w14:paraId="23FD68EA" w14:textId="77777777" w:rsidR="00D47943" w:rsidRPr="00D47943" w:rsidRDefault="00D47943" w:rsidP="0011668E">
      <w:pPr>
        <w:rPr>
          <w:b/>
          <w:bCs/>
          <w:lang w:val="fr-CA"/>
        </w:rPr>
      </w:pPr>
    </w:p>
    <w:p w14:paraId="08643679" w14:textId="1271F4C5" w:rsidR="005146B7" w:rsidRPr="00BD1C76" w:rsidRDefault="00DC2E4F" w:rsidP="00BD1C76">
      <w:pPr>
        <w:shd w:val="clear" w:color="auto" w:fill="595959" w:themeFill="text1" w:themeFillTint="A6"/>
        <w:rPr>
          <w:b/>
          <w:bCs/>
          <w:color w:val="FFFFFF" w:themeColor="background1"/>
          <w:lang w:val="fr-CA"/>
        </w:rPr>
      </w:pPr>
      <w:r w:rsidRPr="00BD1C76">
        <w:rPr>
          <w:b/>
          <w:bCs/>
          <w:color w:val="FFFFFF" w:themeColor="background1"/>
          <w:lang w:val="fr-CA"/>
        </w:rPr>
        <w:t>TEXTE DE RÉFÉRENCE POUR LES COMPOSANT</w:t>
      </w:r>
      <w:r w:rsidR="00F942EF" w:rsidRPr="00BD1C76">
        <w:rPr>
          <w:b/>
          <w:bCs/>
          <w:color w:val="FFFFFF" w:themeColor="background1"/>
          <w:lang w:val="fr-CA"/>
        </w:rPr>
        <w:t xml:space="preserve">ES IDENTIQUES </w:t>
      </w:r>
      <w:r w:rsidRPr="00BD1C76">
        <w:rPr>
          <w:b/>
          <w:bCs/>
          <w:color w:val="FFFFFF" w:themeColor="background1"/>
          <w:lang w:val="fr-CA"/>
        </w:rPr>
        <w:t>À</w:t>
      </w:r>
      <w:r w:rsidR="00F942EF" w:rsidRPr="00BD1C76">
        <w:rPr>
          <w:b/>
          <w:bCs/>
          <w:color w:val="FFFFFF" w:themeColor="background1"/>
          <w:lang w:val="fr-CA"/>
        </w:rPr>
        <w:t xml:space="preserve"> TOUTES LES POLITIQUES DE DONNÉES</w:t>
      </w:r>
    </w:p>
    <w:p w14:paraId="1681C338" w14:textId="0934A944" w:rsidR="00D93303" w:rsidRPr="00D93303" w:rsidRDefault="00470A8D" w:rsidP="0011668E">
      <w:pPr>
        <w:rPr>
          <w:b/>
          <w:bCs/>
          <w:lang w:val="fr-CA"/>
        </w:rPr>
      </w:pPr>
      <w:r>
        <w:rPr>
          <w:b/>
          <w:bCs/>
          <w:lang w:val="fr-CA"/>
        </w:rPr>
        <w:t xml:space="preserve">(politiques </w:t>
      </w:r>
      <w:r w:rsidR="00794B2F">
        <w:rPr>
          <w:b/>
          <w:bCs/>
          <w:lang w:val="fr-CA"/>
        </w:rPr>
        <w:t xml:space="preserve">de type </w:t>
      </w:r>
      <w:r>
        <w:rPr>
          <w:b/>
          <w:bCs/>
          <w:lang w:val="fr-CA"/>
        </w:rPr>
        <w:t>1 à 6)</w:t>
      </w:r>
    </w:p>
    <w:p w14:paraId="0EB34A1C" w14:textId="691B4246" w:rsidR="00D93303" w:rsidRDefault="00D93303" w:rsidP="0011668E">
      <w:pPr>
        <w:rPr>
          <w:lang w:val="fr-CA"/>
        </w:rPr>
      </w:pPr>
    </w:p>
    <w:p w14:paraId="763F934F" w14:textId="672602B7" w:rsidR="00D93303" w:rsidRPr="002C2885" w:rsidRDefault="00E95B08" w:rsidP="00E3529E">
      <w:pPr>
        <w:shd w:val="clear" w:color="auto" w:fill="D9D9D9" w:themeFill="background1" w:themeFillShade="D9"/>
        <w:rPr>
          <w:b/>
          <w:bCs/>
          <w:lang w:val="fr-CA"/>
        </w:rPr>
      </w:pPr>
      <w:r w:rsidRPr="002C2885">
        <w:rPr>
          <w:b/>
          <w:bCs/>
          <w:lang w:val="fr-CA"/>
        </w:rPr>
        <w:t>Définition de données de recherche</w:t>
      </w:r>
    </w:p>
    <w:p w14:paraId="589E9548" w14:textId="6CA291BE" w:rsidR="002C2885" w:rsidRDefault="002C2885" w:rsidP="0011668E">
      <w:pPr>
        <w:rPr>
          <w:lang w:val="fr-CA"/>
        </w:rPr>
      </w:pPr>
      <w:r w:rsidRPr="002C2885">
        <w:rPr>
          <w:lang w:val="fr-CA"/>
        </w:rPr>
        <w:t>Décrit les données auxquelles la politique s’applique.</w:t>
      </w:r>
    </w:p>
    <w:p w14:paraId="33BE1A3D" w14:textId="77777777" w:rsidR="002C2885" w:rsidRDefault="002C2885" w:rsidP="0011668E">
      <w:pPr>
        <w:rPr>
          <w:lang w:val="fr-CA"/>
        </w:rPr>
      </w:pPr>
    </w:p>
    <w:p w14:paraId="399EC363" w14:textId="13A013C8" w:rsidR="00E95B08" w:rsidRDefault="002C2885" w:rsidP="002C2885">
      <w:pPr>
        <w:pBdr>
          <w:top w:val="single" w:sz="4" w:space="1" w:color="auto"/>
          <w:left w:val="single" w:sz="4" w:space="4" w:color="auto"/>
          <w:bottom w:val="single" w:sz="4" w:space="1" w:color="auto"/>
          <w:right w:val="single" w:sz="4" w:space="4" w:color="auto"/>
        </w:pBdr>
        <w:rPr>
          <w:lang w:val="fr-CA"/>
        </w:rPr>
      </w:pPr>
      <w:r>
        <w:rPr>
          <w:lang w:val="fr-CA"/>
        </w:rPr>
        <w:t>Texte de référence</w:t>
      </w:r>
      <w:r w:rsidR="00E95B08">
        <w:rPr>
          <w:lang w:val="fr-CA"/>
        </w:rPr>
        <w:t xml:space="preserve"> proposé</w:t>
      </w:r>
    </w:p>
    <w:p w14:paraId="798D4062" w14:textId="34C19C3A" w:rsidR="00E95B08" w:rsidRPr="002C2885" w:rsidRDefault="00E95B08" w:rsidP="002C2885">
      <w:pPr>
        <w:jc w:val="both"/>
        <w:rPr>
          <w:lang w:val="fr-CA"/>
        </w:rPr>
      </w:pPr>
      <w:r w:rsidRPr="002C2885">
        <w:rPr>
          <w:lang w:val="fr-CA"/>
        </w:rPr>
        <w:t>Cette politique s'applique aux données de recherche qui seraient nécessaires pour vérifier les résultats des recherches rapportées dans les articles publiés dans la revue. Les données de recherche comprennent les données produites par les auteurs (« données primaires ») et les données provenant d'autres sources qui sont analysées par les auteurs dans leur étude (« données secondaires »). Les données de recherche comprennent tout matériel factuel enregistré qui est utilisé pour produire les résultats sous forme numérique et non numérique. Il s'agit notamment de données tabulaires, de codes, d'images, de sons, de documents, de vidéos, de cartes, de données brutes ou traitées.</w:t>
      </w:r>
    </w:p>
    <w:p w14:paraId="3109EABC" w14:textId="77777777" w:rsidR="002C2885" w:rsidRDefault="002C2885" w:rsidP="002C2885">
      <w:pPr>
        <w:pBdr>
          <w:bottom w:val="single" w:sz="4" w:space="1" w:color="auto"/>
        </w:pBdr>
        <w:rPr>
          <w:lang w:val="fr-CA"/>
        </w:rPr>
      </w:pPr>
    </w:p>
    <w:p w14:paraId="339156D0" w14:textId="77777777" w:rsidR="00470A8D" w:rsidRDefault="00470A8D" w:rsidP="0011668E">
      <w:pPr>
        <w:rPr>
          <w:lang w:val="fr-CA"/>
        </w:rPr>
      </w:pPr>
    </w:p>
    <w:p w14:paraId="54332333" w14:textId="6742F39C" w:rsidR="00E95B08" w:rsidRPr="00D47943" w:rsidRDefault="00E95B08" w:rsidP="00D47943">
      <w:pPr>
        <w:rPr>
          <w:lang w:val="fr-CA"/>
        </w:rPr>
      </w:pPr>
      <w:r w:rsidRPr="002C2885">
        <w:rPr>
          <w:lang w:val="fr-CA"/>
        </w:rPr>
        <w:t>D’autres définitions sont disponibles :</w:t>
      </w:r>
      <w:r w:rsidR="00D47943">
        <w:rPr>
          <w:lang w:val="fr-CA"/>
        </w:rPr>
        <w:t xml:space="preserve"> </w:t>
      </w:r>
      <w:hyperlink r:id="rId9" w:anchor="1b" w:history="1">
        <w:r w:rsidRPr="00D47943">
          <w:rPr>
            <w:rStyle w:val="Lienhypertexte"/>
            <w:sz w:val="20"/>
            <w:szCs w:val="20"/>
            <w:lang w:val="fr-CA"/>
          </w:rPr>
          <w:t>Organismes de financement du Canada</w:t>
        </w:r>
      </w:hyperlink>
      <w:r w:rsidR="00D47943">
        <w:rPr>
          <w:lang w:val="fr-CA"/>
        </w:rPr>
        <w:t xml:space="preserve">, </w:t>
      </w:r>
      <w:hyperlink r:id="rId10" w:history="1">
        <w:r w:rsidRPr="00D47943">
          <w:rPr>
            <w:rStyle w:val="Lienhypertexte"/>
            <w:lang w:val="fr-CA"/>
          </w:rPr>
          <w:t>CASRAI</w:t>
        </w:r>
      </w:hyperlink>
      <w:r w:rsidRPr="00D47943">
        <w:rPr>
          <w:lang w:val="fr-CA"/>
        </w:rPr>
        <w:t xml:space="preserve"> (Consortia </w:t>
      </w:r>
      <w:proofErr w:type="spellStart"/>
      <w:r w:rsidRPr="00D47943">
        <w:rPr>
          <w:lang w:val="fr-CA"/>
        </w:rPr>
        <w:t>Advancing</w:t>
      </w:r>
      <w:proofErr w:type="spellEnd"/>
      <w:r w:rsidRPr="00D47943">
        <w:rPr>
          <w:lang w:val="fr-CA"/>
        </w:rPr>
        <w:t xml:space="preserve"> Standards in </w:t>
      </w:r>
      <w:proofErr w:type="spellStart"/>
      <w:r w:rsidRPr="00D47943">
        <w:rPr>
          <w:lang w:val="fr-CA"/>
        </w:rPr>
        <w:t>Research</w:t>
      </w:r>
      <w:proofErr w:type="spellEnd"/>
      <w:r w:rsidRPr="00D47943">
        <w:rPr>
          <w:lang w:val="fr-CA"/>
        </w:rPr>
        <w:t xml:space="preserve"> Administration Information)</w:t>
      </w:r>
      <w:r w:rsidR="00D47943">
        <w:rPr>
          <w:lang w:val="fr-CA"/>
        </w:rPr>
        <w:t xml:space="preserve">, </w:t>
      </w:r>
      <w:hyperlink r:id="rId11" w:anchor="boxsection-d1e671" w:history="1">
        <w:r w:rsidR="00F942EF" w:rsidRPr="00D47943">
          <w:rPr>
            <w:rStyle w:val="Lienhypertexte"/>
            <w:lang w:val="fr-CA"/>
          </w:rPr>
          <w:t>OCDE</w:t>
        </w:r>
      </w:hyperlink>
    </w:p>
    <w:p w14:paraId="0E6366E2" w14:textId="77777777" w:rsidR="00F942EF" w:rsidRDefault="00F942EF" w:rsidP="0011668E">
      <w:pPr>
        <w:rPr>
          <w:lang w:val="fr-CA"/>
        </w:rPr>
      </w:pPr>
    </w:p>
    <w:p w14:paraId="166DFD42" w14:textId="331160DF" w:rsidR="00E95B08" w:rsidRPr="00F942EF" w:rsidRDefault="00E95B08" w:rsidP="00E3529E">
      <w:pPr>
        <w:shd w:val="clear" w:color="auto" w:fill="D9D9D9" w:themeFill="background1" w:themeFillShade="D9"/>
        <w:rPr>
          <w:b/>
          <w:bCs/>
          <w:lang w:val="fr-CA"/>
        </w:rPr>
      </w:pPr>
      <w:r w:rsidRPr="00F942EF">
        <w:rPr>
          <w:b/>
          <w:bCs/>
          <w:lang w:val="fr-CA"/>
        </w:rPr>
        <w:t>Licence de données</w:t>
      </w:r>
    </w:p>
    <w:p w14:paraId="51F02AAD" w14:textId="14674D7B" w:rsidR="002C2885" w:rsidRPr="00470A8D" w:rsidRDefault="002C2885" w:rsidP="0011668E">
      <w:pPr>
        <w:rPr>
          <w:lang w:val="fr-CA"/>
        </w:rPr>
      </w:pPr>
      <w:r w:rsidRPr="00470A8D">
        <w:rPr>
          <w:lang w:val="fr-CA"/>
        </w:rPr>
        <w:t>Définit la position de la revue sur les licences et les droits d'auteur pour les données de recherche.</w:t>
      </w:r>
    </w:p>
    <w:p w14:paraId="2B5EC750" w14:textId="77777777" w:rsidR="00470A8D" w:rsidRDefault="00470A8D" w:rsidP="0011668E">
      <w:pPr>
        <w:rPr>
          <w:lang w:val="fr-CA"/>
        </w:rPr>
      </w:pPr>
    </w:p>
    <w:p w14:paraId="7590ECB0" w14:textId="53D51AB7" w:rsidR="00470A8D" w:rsidRDefault="00470A8D" w:rsidP="00470A8D">
      <w:pPr>
        <w:pBdr>
          <w:top w:val="single" w:sz="4" w:space="1" w:color="auto"/>
          <w:left w:val="single" w:sz="4" w:space="4" w:color="auto"/>
          <w:bottom w:val="single" w:sz="4" w:space="1" w:color="auto"/>
          <w:right w:val="single" w:sz="4" w:space="4" w:color="auto"/>
        </w:pBdr>
        <w:rPr>
          <w:lang w:val="fr-CA"/>
        </w:rPr>
      </w:pPr>
      <w:r>
        <w:rPr>
          <w:lang w:val="fr-CA"/>
        </w:rPr>
        <w:t>Texte de référence proposé</w:t>
      </w:r>
    </w:p>
    <w:p w14:paraId="61FF143E" w14:textId="44F0DC07" w:rsidR="00F942EF" w:rsidRDefault="00F942EF" w:rsidP="005146B7">
      <w:pPr>
        <w:jc w:val="both"/>
        <w:rPr>
          <w:lang w:val="fr-CA"/>
        </w:rPr>
      </w:pPr>
      <w:r w:rsidRPr="00470A8D">
        <w:rPr>
          <w:lang w:val="fr-CA"/>
        </w:rPr>
        <w:t>La revue encourage la mise à disposition des données de recherche sous des licences ouvertes qui permettent une réutilisation libre. La revue n'applique pas de licences particulières pour les données de recherche, lorsque celles-ci sont déposées dans des dépôts tiers. L'éditeur de la revue ne revendique pas de droits d'auteur sur les données de recherche.</w:t>
      </w:r>
    </w:p>
    <w:p w14:paraId="6735E1D1" w14:textId="77777777" w:rsidR="00470A8D" w:rsidRDefault="00470A8D" w:rsidP="005146B7">
      <w:pPr>
        <w:pBdr>
          <w:bottom w:val="single" w:sz="4" w:space="1" w:color="auto"/>
        </w:pBdr>
        <w:jc w:val="both"/>
        <w:rPr>
          <w:lang w:val="fr-CA"/>
        </w:rPr>
      </w:pPr>
    </w:p>
    <w:p w14:paraId="513FAB58" w14:textId="77777777" w:rsidR="00F942EF" w:rsidRDefault="00F942EF" w:rsidP="0011668E">
      <w:pPr>
        <w:rPr>
          <w:lang w:val="fr-CA"/>
        </w:rPr>
      </w:pPr>
    </w:p>
    <w:p w14:paraId="6897635A" w14:textId="42EE8946" w:rsidR="00E95B08" w:rsidRPr="00F942EF" w:rsidRDefault="00E95B08" w:rsidP="00E3529E">
      <w:pPr>
        <w:shd w:val="clear" w:color="auto" w:fill="D9D9D9" w:themeFill="background1" w:themeFillShade="D9"/>
        <w:rPr>
          <w:b/>
          <w:bCs/>
          <w:lang w:val="fr-CA"/>
        </w:rPr>
      </w:pPr>
      <w:r w:rsidRPr="00F942EF">
        <w:rPr>
          <w:b/>
          <w:bCs/>
          <w:lang w:val="fr-CA"/>
        </w:rPr>
        <w:t>Soutien aux chercheurs /</w:t>
      </w:r>
      <w:r w:rsidR="002C2885">
        <w:rPr>
          <w:b/>
          <w:bCs/>
          <w:lang w:val="fr-CA"/>
        </w:rPr>
        <w:t xml:space="preserve"> </w:t>
      </w:r>
      <w:r w:rsidRPr="00F942EF">
        <w:rPr>
          <w:b/>
          <w:bCs/>
          <w:lang w:val="fr-CA"/>
        </w:rPr>
        <w:t>auteurs</w:t>
      </w:r>
    </w:p>
    <w:p w14:paraId="10789EB6" w14:textId="392EED6A" w:rsidR="00470A8D" w:rsidRDefault="00470A8D" w:rsidP="0011668E">
      <w:pPr>
        <w:rPr>
          <w:lang w:val="fr-CA"/>
        </w:rPr>
      </w:pPr>
      <w:r>
        <w:rPr>
          <w:lang w:val="fr-CA"/>
        </w:rPr>
        <w:t>Renseigne</w:t>
      </w:r>
      <w:r w:rsidRPr="00470A8D">
        <w:rPr>
          <w:lang w:val="fr-CA"/>
        </w:rPr>
        <w:t xml:space="preserve"> sur les personnes que les auteurs doivent contacter au sein </w:t>
      </w:r>
      <w:r>
        <w:rPr>
          <w:lang w:val="fr-CA"/>
        </w:rPr>
        <w:t>de la revue</w:t>
      </w:r>
      <w:r w:rsidRPr="00470A8D">
        <w:rPr>
          <w:lang w:val="fr-CA"/>
        </w:rPr>
        <w:t xml:space="preserve"> pour plus d'informations sur le respect de la politique</w:t>
      </w:r>
      <w:r>
        <w:rPr>
          <w:lang w:val="fr-CA"/>
        </w:rPr>
        <w:t xml:space="preserve"> de données</w:t>
      </w:r>
      <w:r w:rsidRPr="00470A8D">
        <w:rPr>
          <w:lang w:val="fr-CA"/>
        </w:rPr>
        <w:t>.</w:t>
      </w:r>
      <w:r>
        <w:rPr>
          <w:lang w:val="fr-CA"/>
        </w:rPr>
        <w:t xml:space="preserve"> </w:t>
      </w:r>
    </w:p>
    <w:p w14:paraId="566739AA" w14:textId="77777777" w:rsidR="00470A8D" w:rsidRDefault="00470A8D" w:rsidP="0011668E">
      <w:pPr>
        <w:rPr>
          <w:lang w:val="fr-CA"/>
        </w:rPr>
      </w:pPr>
    </w:p>
    <w:p w14:paraId="15B98F37" w14:textId="465F7062" w:rsidR="00470A8D" w:rsidRDefault="00470A8D" w:rsidP="00470A8D">
      <w:pPr>
        <w:pBdr>
          <w:top w:val="single" w:sz="4" w:space="1" w:color="auto"/>
          <w:left w:val="single" w:sz="4" w:space="4" w:color="auto"/>
          <w:bottom w:val="single" w:sz="4" w:space="1" w:color="auto"/>
          <w:right w:val="single" w:sz="4" w:space="4" w:color="auto"/>
        </w:pBdr>
        <w:rPr>
          <w:lang w:val="fr-CA"/>
        </w:rPr>
      </w:pPr>
      <w:r>
        <w:rPr>
          <w:lang w:val="fr-CA"/>
        </w:rPr>
        <w:t>Texte de référence proposé</w:t>
      </w:r>
    </w:p>
    <w:p w14:paraId="359A57B0" w14:textId="5856D1C0" w:rsidR="00F942EF" w:rsidRPr="00470A8D" w:rsidRDefault="00F942EF" w:rsidP="005146B7">
      <w:pPr>
        <w:jc w:val="both"/>
        <w:rPr>
          <w:lang w:val="fr-CA"/>
        </w:rPr>
      </w:pPr>
      <w:r w:rsidRPr="00470A8D">
        <w:rPr>
          <w:lang w:val="fr-CA"/>
        </w:rPr>
        <w:t>Les questions relatives au respect de cette politique doivent être envoyées à [courriel].</w:t>
      </w:r>
    </w:p>
    <w:p w14:paraId="279236F3" w14:textId="2F52C7D1" w:rsidR="00F942EF" w:rsidRDefault="00F942EF" w:rsidP="00470A8D">
      <w:pPr>
        <w:pBdr>
          <w:bottom w:val="single" w:sz="4" w:space="1" w:color="auto"/>
        </w:pBdr>
        <w:rPr>
          <w:lang w:val="fr-CA"/>
        </w:rPr>
      </w:pPr>
    </w:p>
    <w:p w14:paraId="7938223C" w14:textId="77777777" w:rsidR="00470A8D" w:rsidRDefault="00470A8D" w:rsidP="0011668E">
      <w:pPr>
        <w:rPr>
          <w:lang w:val="fr-CA"/>
        </w:rPr>
      </w:pPr>
    </w:p>
    <w:p w14:paraId="15C877F7" w14:textId="52B1DD30" w:rsidR="00F942EF" w:rsidRDefault="00D47943" w:rsidP="0011668E">
      <w:pPr>
        <w:rPr>
          <w:lang w:val="fr-CA"/>
        </w:rPr>
      </w:pPr>
      <w:r>
        <w:rPr>
          <w:lang w:val="fr-CA"/>
        </w:rPr>
        <w:t>L</w:t>
      </w:r>
      <w:r w:rsidR="00F942EF">
        <w:rPr>
          <w:lang w:val="fr-CA"/>
        </w:rPr>
        <w:t xml:space="preserve">’équipe de la revue </w:t>
      </w:r>
      <w:r>
        <w:rPr>
          <w:lang w:val="fr-CA"/>
        </w:rPr>
        <w:t>peut se</w:t>
      </w:r>
      <w:r w:rsidR="00F942EF">
        <w:rPr>
          <w:lang w:val="fr-CA"/>
        </w:rPr>
        <w:t xml:space="preserve"> tourner vers l’équipe GDR de l’UQAM : </w:t>
      </w:r>
      <w:hyperlink r:id="rId12" w:history="1">
        <w:r w:rsidR="00F942EF" w:rsidRPr="008B399B">
          <w:rPr>
            <w:rStyle w:val="Lienhypertexte"/>
            <w:lang w:val="fr-CA"/>
          </w:rPr>
          <w:t>gdr@uqam.ca</w:t>
        </w:r>
      </w:hyperlink>
      <w:r w:rsidR="00F942EF">
        <w:rPr>
          <w:lang w:val="fr-CA"/>
        </w:rPr>
        <w:t>.</w:t>
      </w:r>
    </w:p>
    <w:p w14:paraId="7DFF3BAC" w14:textId="77777777" w:rsidR="005146B7" w:rsidRPr="00D47943" w:rsidRDefault="00470A8D" w:rsidP="00D47943">
      <w:pPr>
        <w:shd w:val="clear" w:color="auto" w:fill="000000" w:themeFill="text1"/>
        <w:rPr>
          <w:b/>
          <w:bCs/>
          <w:color w:val="FFFFFF" w:themeColor="background1"/>
          <w:lang w:val="fr-CA"/>
        </w:rPr>
      </w:pPr>
      <w:r w:rsidRPr="00D47943">
        <w:rPr>
          <w:b/>
          <w:bCs/>
          <w:color w:val="FFFFFF" w:themeColor="background1"/>
          <w:lang w:val="fr-CA"/>
        </w:rPr>
        <w:lastRenderedPageBreak/>
        <w:t>GROUPES DE POLITIQUES SANS OBLIGATION DE PARTAGE DE DONNÉES</w:t>
      </w:r>
    </w:p>
    <w:p w14:paraId="6DFAFCD6" w14:textId="29B69CCE" w:rsidR="00470A8D" w:rsidRPr="00D47943" w:rsidRDefault="005146B7" w:rsidP="00D47943">
      <w:pPr>
        <w:shd w:val="clear" w:color="auto" w:fill="000000" w:themeFill="text1"/>
        <w:jc w:val="center"/>
        <w:rPr>
          <w:b/>
          <w:bCs/>
          <w:color w:val="FFFFFF" w:themeColor="background1"/>
          <w:lang w:val="fr-CA"/>
        </w:rPr>
      </w:pPr>
      <w:r w:rsidRPr="00D47943">
        <w:rPr>
          <w:b/>
          <w:bCs/>
          <w:color w:val="FFFFFF" w:themeColor="background1"/>
          <w:lang w:val="fr-CA"/>
        </w:rPr>
        <w:t xml:space="preserve">(politiques </w:t>
      </w:r>
      <w:r w:rsidR="00794B2F" w:rsidRPr="00D47943">
        <w:rPr>
          <w:b/>
          <w:bCs/>
          <w:color w:val="FFFFFF" w:themeColor="background1"/>
          <w:lang w:val="fr-CA"/>
        </w:rPr>
        <w:t xml:space="preserve">de type </w:t>
      </w:r>
      <w:r w:rsidRPr="00D47943">
        <w:rPr>
          <w:b/>
          <w:bCs/>
          <w:color w:val="FFFFFF" w:themeColor="background1"/>
          <w:lang w:val="fr-CA"/>
        </w:rPr>
        <w:t>1 à 3)</w:t>
      </w:r>
    </w:p>
    <w:p w14:paraId="055F1909" w14:textId="77777777" w:rsidR="00D14EB5" w:rsidRDefault="00D14EB5" w:rsidP="0011668E">
      <w:pPr>
        <w:rPr>
          <w:lang w:val="fr-CA"/>
        </w:rPr>
      </w:pPr>
    </w:p>
    <w:p w14:paraId="385BF66E" w14:textId="3179B393" w:rsidR="00D14EB5" w:rsidRDefault="00F20E33" w:rsidP="00D14EB5">
      <w:pPr>
        <w:rPr>
          <w:b/>
          <w:bCs/>
          <w:lang w:val="fr-CA"/>
        </w:rPr>
      </w:pPr>
      <w:r>
        <w:rPr>
          <w:b/>
          <w:bCs/>
          <w:lang w:val="fr-CA"/>
        </w:rPr>
        <w:t xml:space="preserve">Tableau 1 </w:t>
      </w:r>
      <w:r w:rsidR="00D14EB5">
        <w:rPr>
          <w:b/>
          <w:bCs/>
          <w:lang w:val="fr-CA"/>
        </w:rPr>
        <w:t xml:space="preserve">Survol </w:t>
      </w:r>
      <w:r>
        <w:rPr>
          <w:b/>
          <w:bCs/>
          <w:lang w:val="fr-CA"/>
        </w:rPr>
        <w:t>des</w:t>
      </w:r>
      <w:r w:rsidR="00D14EB5">
        <w:rPr>
          <w:b/>
          <w:bCs/>
          <w:lang w:val="fr-CA"/>
        </w:rPr>
        <w:t xml:space="preserve"> politiques</w:t>
      </w:r>
      <w:r>
        <w:rPr>
          <w:b/>
          <w:bCs/>
          <w:lang w:val="fr-CA"/>
        </w:rPr>
        <w:t xml:space="preserve"> de type 1, 2 et 3</w:t>
      </w:r>
    </w:p>
    <w:p w14:paraId="3B09BC1E" w14:textId="77777777" w:rsidR="00D14EB5" w:rsidRPr="00794B2F" w:rsidRDefault="00D14EB5" w:rsidP="00D14EB5">
      <w:pPr>
        <w:rPr>
          <w:b/>
          <w:bCs/>
          <w:lang w:val="fr-CA"/>
        </w:rPr>
      </w:pPr>
    </w:p>
    <w:tbl>
      <w:tblPr>
        <w:tblStyle w:val="Grilledutableau"/>
        <w:tblW w:w="0" w:type="auto"/>
        <w:tblLook w:val="04A0" w:firstRow="1" w:lastRow="0" w:firstColumn="1" w:lastColumn="0" w:noHBand="0" w:noVBand="1"/>
      </w:tblPr>
      <w:tblGrid>
        <w:gridCol w:w="2337"/>
        <w:gridCol w:w="2337"/>
        <w:gridCol w:w="2338"/>
        <w:gridCol w:w="2338"/>
      </w:tblGrid>
      <w:tr w:rsidR="00D14EB5" w14:paraId="4C0EF868" w14:textId="77777777" w:rsidTr="00DA7CA1">
        <w:tc>
          <w:tcPr>
            <w:tcW w:w="2337" w:type="dxa"/>
            <w:tcBorders>
              <w:top w:val="nil"/>
              <w:left w:val="nil"/>
              <w:bottom w:val="nil"/>
            </w:tcBorders>
          </w:tcPr>
          <w:p w14:paraId="7F82A2C9" w14:textId="77777777" w:rsidR="00D14EB5" w:rsidRDefault="00D14EB5" w:rsidP="00DA7CA1">
            <w:pPr>
              <w:rPr>
                <w:lang w:val="fr-CA"/>
              </w:rPr>
            </w:pPr>
          </w:p>
        </w:tc>
        <w:tc>
          <w:tcPr>
            <w:tcW w:w="2337" w:type="dxa"/>
            <w:shd w:val="clear" w:color="auto" w:fill="BFBFBF" w:themeFill="background1" w:themeFillShade="BF"/>
          </w:tcPr>
          <w:p w14:paraId="51ABFBB2" w14:textId="77777777" w:rsidR="00D14EB5" w:rsidRPr="00D14EB5" w:rsidRDefault="00D14EB5" w:rsidP="00DA7CA1">
            <w:pPr>
              <w:rPr>
                <w:b/>
                <w:bCs/>
                <w:lang w:val="fr-CA"/>
              </w:rPr>
            </w:pPr>
            <w:r w:rsidRPr="00D14EB5">
              <w:rPr>
                <w:b/>
                <w:bCs/>
                <w:lang w:val="fr-CA"/>
              </w:rPr>
              <w:t>Politique type 1</w:t>
            </w:r>
          </w:p>
        </w:tc>
        <w:tc>
          <w:tcPr>
            <w:tcW w:w="2338" w:type="dxa"/>
            <w:shd w:val="clear" w:color="auto" w:fill="BFBFBF" w:themeFill="background1" w:themeFillShade="BF"/>
          </w:tcPr>
          <w:p w14:paraId="4DE3AD1C" w14:textId="77777777" w:rsidR="00D14EB5" w:rsidRPr="00D14EB5" w:rsidRDefault="00D14EB5" w:rsidP="00DA7CA1">
            <w:pPr>
              <w:rPr>
                <w:b/>
                <w:bCs/>
                <w:lang w:val="fr-CA"/>
              </w:rPr>
            </w:pPr>
            <w:r w:rsidRPr="00D14EB5">
              <w:rPr>
                <w:b/>
                <w:bCs/>
                <w:lang w:val="fr-CA"/>
              </w:rPr>
              <w:t>Politique type 2</w:t>
            </w:r>
          </w:p>
        </w:tc>
        <w:tc>
          <w:tcPr>
            <w:tcW w:w="2338" w:type="dxa"/>
            <w:shd w:val="clear" w:color="auto" w:fill="BFBFBF" w:themeFill="background1" w:themeFillShade="BF"/>
          </w:tcPr>
          <w:p w14:paraId="3274F605" w14:textId="77777777" w:rsidR="00D14EB5" w:rsidRPr="00D14EB5" w:rsidRDefault="00D14EB5" w:rsidP="00DA7CA1">
            <w:pPr>
              <w:rPr>
                <w:b/>
                <w:bCs/>
                <w:lang w:val="fr-CA"/>
              </w:rPr>
            </w:pPr>
            <w:r w:rsidRPr="00D14EB5">
              <w:rPr>
                <w:b/>
                <w:bCs/>
                <w:lang w:val="fr-CA"/>
              </w:rPr>
              <w:t>Politique type 3</w:t>
            </w:r>
          </w:p>
        </w:tc>
      </w:tr>
      <w:tr w:rsidR="00D14EB5" w:rsidRPr="00E11F8E" w14:paraId="038E825E" w14:textId="77777777" w:rsidTr="00DA7CA1">
        <w:tc>
          <w:tcPr>
            <w:tcW w:w="2337" w:type="dxa"/>
            <w:tcBorders>
              <w:top w:val="nil"/>
              <w:left w:val="nil"/>
            </w:tcBorders>
          </w:tcPr>
          <w:p w14:paraId="755C7868" w14:textId="77777777" w:rsidR="00D14EB5" w:rsidRDefault="00D14EB5" w:rsidP="00DA7CA1">
            <w:pPr>
              <w:rPr>
                <w:lang w:val="fr-CA"/>
              </w:rPr>
            </w:pPr>
          </w:p>
        </w:tc>
        <w:tc>
          <w:tcPr>
            <w:tcW w:w="2337" w:type="dxa"/>
          </w:tcPr>
          <w:p w14:paraId="77842AAF" w14:textId="77777777" w:rsidR="00D14EB5" w:rsidRPr="009105D1" w:rsidRDefault="00D14EB5" w:rsidP="00DA7CA1">
            <w:pPr>
              <w:rPr>
                <w:sz w:val="20"/>
                <w:szCs w:val="20"/>
                <w:lang w:val="fr-CA"/>
              </w:rPr>
            </w:pPr>
            <w:r w:rsidRPr="007D45C0">
              <w:rPr>
                <w:sz w:val="20"/>
                <w:szCs w:val="20"/>
                <w:lang w:val="fr-CA"/>
              </w:rPr>
              <w:t>Les auteurs sont encouragés à mettre à disposition les données de recherche qui soutiennent leurs publications, mais ne sont pas tenus de le faire. La décision de publier ne sera pas affectée par le fait que les auteurs partagent ou non leurs données de recherche.</w:t>
            </w:r>
          </w:p>
        </w:tc>
        <w:tc>
          <w:tcPr>
            <w:tcW w:w="2338" w:type="dxa"/>
          </w:tcPr>
          <w:p w14:paraId="246673FC" w14:textId="77777777" w:rsidR="00D14EB5" w:rsidRDefault="00D14EB5" w:rsidP="00DA7CA1">
            <w:pPr>
              <w:rPr>
                <w:lang w:val="fr-CA"/>
              </w:rPr>
            </w:pPr>
            <w:r w:rsidRPr="009105D1">
              <w:rPr>
                <w:sz w:val="20"/>
                <w:szCs w:val="20"/>
                <w:lang w:val="fr-CA"/>
              </w:rPr>
              <w:t>Les auteurs sont encouragés à partager leurs données de recherche et à fournir des déclarations d’accessibilité des données</w:t>
            </w:r>
            <w:r>
              <w:rPr>
                <w:sz w:val="20"/>
                <w:szCs w:val="20"/>
                <w:lang w:val="fr-CA"/>
              </w:rPr>
              <w:t xml:space="preserve"> que l’éditeur publiera</w:t>
            </w:r>
            <w:r w:rsidRPr="009105D1">
              <w:rPr>
                <w:sz w:val="20"/>
                <w:szCs w:val="20"/>
                <w:lang w:val="fr-CA"/>
              </w:rPr>
              <w:t>, mais ils n'y sont pas tenus. La décision de publier ne sera pas affectée par le fait que les auteurs partagent ou non leurs données de recherche.</w:t>
            </w:r>
          </w:p>
        </w:tc>
        <w:tc>
          <w:tcPr>
            <w:tcW w:w="2338" w:type="dxa"/>
          </w:tcPr>
          <w:p w14:paraId="097C607E" w14:textId="77777777" w:rsidR="00D14EB5" w:rsidRPr="009105D1" w:rsidRDefault="00D14EB5" w:rsidP="00DA7CA1">
            <w:pPr>
              <w:rPr>
                <w:sz w:val="20"/>
                <w:szCs w:val="20"/>
                <w:lang w:val="fr-CA"/>
              </w:rPr>
            </w:pPr>
            <w:r w:rsidRPr="008475FC">
              <w:rPr>
                <w:sz w:val="20"/>
                <w:szCs w:val="20"/>
                <w:lang w:val="fr-CA"/>
              </w:rPr>
              <w:t>En publiant dans la revue, les auteurs sont tenus de fournir une déclaration d'accessibilité des données dans leurs articles. Les auteurs sont encouragés à partager leurs données mais ne sont pas tenus de le faire. La décision de publier ne sera pas affectée par le fait que les auteurs partagent ou non leurs données de recherche.</w:t>
            </w:r>
          </w:p>
        </w:tc>
      </w:tr>
      <w:tr w:rsidR="00D14EB5" w14:paraId="35C13DE2" w14:textId="77777777" w:rsidTr="00DA7CA1">
        <w:tc>
          <w:tcPr>
            <w:tcW w:w="2337" w:type="dxa"/>
          </w:tcPr>
          <w:p w14:paraId="0D2BF34B" w14:textId="77777777" w:rsidR="00D14EB5" w:rsidRPr="00D14EB5" w:rsidRDefault="00D14EB5" w:rsidP="00DA7CA1">
            <w:pPr>
              <w:rPr>
                <w:b/>
                <w:bCs/>
                <w:lang w:val="fr-CA"/>
              </w:rPr>
            </w:pPr>
            <w:r w:rsidRPr="00D14EB5">
              <w:rPr>
                <w:b/>
                <w:bCs/>
                <w:lang w:val="fr-CA"/>
              </w:rPr>
              <w:t>Déclarations d'accessibilité des données</w:t>
            </w:r>
          </w:p>
        </w:tc>
        <w:tc>
          <w:tcPr>
            <w:tcW w:w="2337" w:type="dxa"/>
            <w:vAlign w:val="center"/>
          </w:tcPr>
          <w:p w14:paraId="6A213EFD" w14:textId="77777777" w:rsidR="00D14EB5" w:rsidRDefault="00D14EB5" w:rsidP="00DA7CA1">
            <w:pPr>
              <w:jc w:val="center"/>
              <w:rPr>
                <w:lang w:val="fr-CA"/>
              </w:rPr>
            </w:pPr>
            <w:r>
              <w:rPr>
                <w:lang w:val="fr-CA"/>
              </w:rPr>
              <w:t>AUCUNE</w:t>
            </w:r>
          </w:p>
        </w:tc>
        <w:tc>
          <w:tcPr>
            <w:tcW w:w="2338" w:type="dxa"/>
            <w:shd w:val="clear" w:color="auto" w:fill="92D050"/>
            <w:vAlign w:val="center"/>
          </w:tcPr>
          <w:p w14:paraId="187A5956" w14:textId="77777777" w:rsidR="00D14EB5" w:rsidRDefault="00D14EB5" w:rsidP="00DA7CA1">
            <w:pPr>
              <w:jc w:val="center"/>
              <w:rPr>
                <w:lang w:val="fr-CA"/>
              </w:rPr>
            </w:pPr>
            <w:r>
              <w:rPr>
                <w:lang w:val="fr-CA"/>
              </w:rPr>
              <w:t>FACULTATIF</w:t>
            </w:r>
          </w:p>
        </w:tc>
        <w:tc>
          <w:tcPr>
            <w:tcW w:w="2338" w:type="dxa"/>
            <w:shd w:val="clear" w:color="auto" w:fill="C00000"/>
            <w:vAlign w:val="center"/>
          </w:tcPr>
          <w:p w14:paraId="28C20186" w14:textId="77777777" w:rsidR="00D14EB5" w:rsidRDefault="00D14EB5" w:rsidP="00DA7CA1">
            <w:pPr>
              <w:jc w:val="center"/>
              <w:rPr>
                <w:lang w:val="fr-CA"/>
              </w:rPr>
            </w:pPr>
            <w:r w:rsidRPr="00D14EB5">
              <w:rPr>
                <w:color w:val="000000" w:themeColor="text1"/>
                <w:lang w:val="fr-CA"/>
              </w:rPr>
              <w:t>OBLIGATOIRE</w:t>
            </w:r>
          </w:p>
        </w:tc>
      </w:tr>
      <w:tr w:rsidR="00D14EB5" w14:paraId="3576FA2A" w14:textId="77777777" w:rsidTr="00DA7CA1">
        <w:tc>
          <w:tcPr>
            <w:tcW w:w="2337" w:type="dxa"/>
          </w:tcPr>
          <w:p w14:paraId="516FD686" w14:textId="77777777" w:rsidR="00D14EB5" w:rsidRPr="00D14EB5" w:rsidRDefault="00D14EB5" w:rsidP="00DA7CA1">
            <w:pPr>
              <w:rPr>
                <w:b/>
                <w:bCs/>
                <w:lang w:val="fr-CA"/>
              </w:rPr>
            </w:pPr>
            <w:r w:rsidRPr="00D14EB5">
              <w:rPr>
                <w:b/>
                <w:bCs/>
                <w:lang w:val="fr-CA"/>
              </w:rPr>
              <w:t>Citation des données</w:t>
            </w:r>
          </w:p>
        </w:tc>
        <w:tc>
          <w:tcPr>
            <w:tcW w:w="2337" w:type="dxa"/>
            <w:shd w:val="clear" w:color="auto" w:fill="92D050"/>
            <w:vAlign w:val="center"/>
          </w:tcPr>
          <w:p w14:paraId="4A85C133" w14:textId="77777777" w:rsidR="00D14EB5" w:rsidRDefault="00D14EB5" w:rsidP="00DA7CA1">
            <w:pPr>
              <w:jc w:val="center"/>
              <w:rPr>
                <w:lang w:val="fr-CA"/>
              </w:rPr>
            </w:pPr>
            <w:r>
              <w:rPr>
                <w:lang w:val="fr-CA"/>
              </w:rPr>
              <w:t>FACULTATIF</w:t>
            </w:r>
          </w:p>
        </w:tc>
        <w:tc>
          <w:tcPr>
            <w:tcW w:w="2338" w:type="dxa"/>
            <w:shd w:val="clear" w:color="auto" w:fill="92D050"/>
            <w:vAlign w:val="center"/>
          </w:tcPr>
          <w:p w14:paraId="0851984C" w14:textId="77777777" w:rsidR="00D14EB5" w:rsidRDefault="00D14EB5" w:rsidP="00DA7CA1">
            <w:pPr>
              <w:jc w:val="center"/>
              <w:rPr>
                <w:lang w:val="fr-CA"/>
              </w:rPr>
            </w:pPr>
            <w:r>
              <w:rPr>
                <w:lang w:val="fr-CA"/>
              </w:rPr>
              <w:t>FACULTATIF</w:t>
            </w:r>
          </w:p>
        </w:tc>
        <w:tc>
          <w:tcPr>
            <w:tcW w:w="2338" w:type="dxa"/>
            <w:shd w:val="clear" w:color="auto" w:fill="92D050"/>
            <w:vAlign w:val="center"/>
          </w:tcPr>
          <w:p w14:paraId="3D4C5C20" w14:textId="77777777" w:rsidR="00D14EB5" w:rsidRDefault="00D14EB5" w:rsidP="00DA7CA1">
            <w:pPr>
              <w:jc w:val="center"/>
              <w:rPr>
                <w:lang w:val="fr-CA"/>
              </w:rPr>
            </w:pPr>
            <w:r>
              <w:rPr>
                <w:lang w:val="fr-CA"/>
              </w:rPr>
              <w:t>FACULTATIF</w:t>
            </w:r>
          </w:p>
        </w:tc>
      </w:tr>
      <w:tr w:rsidR="00D14EB5" w14:paraId="6F113C44" w14:textId="77777777" w:rsidTr="00DA7CA1">
        <w:tc>
          <w:tcPr>
            <w:tcW w:w="2337" w:type="dxa"/>
          </w:tcPr>
          <w:p w14:paraId="3067DC20" w14:textId="77777777" w:rsidR="00D14EB5" w:rsidRPr="00D14EB5" w:rsidRDefault="00D14EB5" w:rsidP="00DA7CA1">
            <w:pPr>
              <w:rPr>
                <w:b/>
                <w:bCs/>
                <w:lang w:val="fr-CA"/>
              </w:rPr>
            </w:pPr>
            <w:r w:rsidRPr="00D14EB5">
              <w:rPr>
                <w:b/>
                <w:bCs/>
                <w:lang w:val="fr-CA"/>
              </w:rPr>
              <w:t>Partage des données dans un dépôt</w:t>
            </w:r>
          </w:p>
        </w:tc>
        <w:tc>
          <w:tcPr>
            <w:tcW w:w="2337" w:type="dxa"/>
            <w:shd w:val="clear" w:color="auto" w:fill="92D050"/>
            <w:vAlign w:val="center"/>
          </w:tcPr>
          <w:p w14:paraId="1B747A50" w14:textId="77777777" w:rsidR="00D14EB5" w:rsidRDefault="00D14EB5" w:rsidP="00DA7CA1">
            <w:pPr>
              <w:jc w:val="center"/>
              <w:rPr>
                <w:lang w:val="fr-CA"/>
              </w:rPr>
            </w:pPr>
            <w:r>
              <w:rPr>
                <w:lang w:val="fr-CA"/>
              </w:rPr>
              <w:t>FACULTATIF</w:t>
            </w:r>
          </w:p>
        </w:tc>
        <w:tc>
          <w:tcPr>
            <w:tcW w:w="2338" w:type="dxa"/>
            <w:shd w:val="clear" w:color="auto" w:fill="92D050"/>
            <w:vAlign w:val="center"/>
          </w:tcPr>
          <w:p w14:paraId="5E851BDD" w14:textId="77777777" w:rsidR="00D14EB5" w:rsidRDefault="00D14EB5" w:rsidP="00DA7CA1">
            <w:pPr>
              <w:jc w:val="center"/>
              <w:rPr>
                <w:lang w:val="fr-CA"/>
              </w:rPr>
            </w:pPr>
            <w:r>
              <w:rPr>
                <w:lang w:val="fr-CA"/>
              </w:rPr>
              <w:t>FACULTATIF</w:t>
            </w:r>
          </w:p>
        </w:tc>
        <w:tc>
          <w:tcPr>
            <w:tcW w:w="2338" w:type="dxa"/>
            <w:shd w:val="clear" w:color="auto" w:fill="92D050"/>
            <w:vAlign w:val="center"/>
          </w:tcPr>
          <w:p w14:paraId="338ACE18" w14:textId="77777777" w:rsidR="00D14EB5" w:rsidRDefault="00D14EB5" w:rsidP="00DA7CA1">
            <w:pPr>
              <w:jc w:val="center"/>
              <w:rPr>
                <w:lang w:val="fr-CA"/>
              </w:rPr>
            </w:pPr>
            <w:r>
              <w:rPr>
                <w:lang w:val="fr-CA"/>
              </w:rPr>
              <w:t>FACULTATIF</w:t>
            </w:r>
          </w:p>
        </w:tc>
      </w:tr>
      <w:tr w:rsidR="00D14EB5" w14:paraId="2A5F6170" w14:textId="77777777" w:rsidTr="00DA7CA1">
        <w:tc>
          <w:tcPr>
            <w:tcW w:w="2337" w:type="dxa"/>
          </w:tcPr>
          <w:p w14:paraId="0341FCD6" w14:textId="77777777" w:rsidR="00D14EB5" w:rsidRPr="00D14EB5" w:rsidRDefault="00D14EB5" w:rsidP="00DA7CA1">
            <w:pPr>
              <w:rPr>
                <w:b/>
                <w:bCs/>
                <w:lang w:val="fr-CA"/>
              </w:rPr>
            </w:pPr>
            <w:r w:rsidRPr="00D14EB5">
              <w:rPr>
                <w:b/>
                <w:bCs/>
                <w:lang w:val="fr-CA"/>
              </w:rPr>
              <w:t>Répondre aux questions relatives à cette politique (revue seulement).</w:t>
            </w:r>
          </w:p>
        </w:tc>
        <w:tc>
          <w:tcPr>
            <w:tcW w:w="2337" w:type="dxa"/>
            <w:shd w:val="clear" w:color="auto" w:fill="C00000"/>
            <w:vAlign w:val="center"/>
          </w:tcPr>
          <w:p w14:paraId="158D423C" w14:textId="77777777" w:rsidR="00D14EB5" w:rsidRPr="00D14EB5" w:rsidRDefault="00D14EB5" w:rsidP="00DA7CA1">
            <w:pPr>
              <w:jc w:val="center"/>
              <w:rPr>
                <w:color w:val="000000" w:themeColor="text1"/>
                <w:lang w:val="fr-CA"/>
              </w:rPr>
            </w:pPr>
            <w:r w:rsidRPr="00D14EB5">
              <w:rPr>
                <w:color w:val="000000" w:themeColor="text1"/>
                <w:lang w:val="fr-CA"/>
              </w:rPr>
              <w:t>OBLIGATOIRE</w:t>
            </w:r>
          </w:p>
        </w:tc>
        <w:tc>
          <w:tcPr>
            <w:tcW w:w="2338" w:type="dxa"/>
            <w:shd w:val="clear" w:color="auto" w:fill="C00000"/>
            <w:vAlign w:val="center"/>
          </w:tcPr>
          <w:p w14:paraId="6732BCE2" w14:textId="77777777" w:rsidR="00D14EB5" w:rsidRPr="00D14EB5" w:rsidRDefault="00D14EB5" w:rsidP="00DA7CA1">
            <w:pPr>
              <w:jc w:val="center"/>
              <w:rPr>
                <w:color w:val="000000" w:themeColor="text1"/>
                <w:lang w:val="fr-CA"/>
              </w:rPr>
            </w:pPr>
            <w:r w:rsidRPr="00D14EB5">
              <w:rPr>
                <w:color w:val="000000" w:themeColor="text1"/>
                <w:lang w:val="fr-CA"/>
              </w:rPr>
              <w:t>OBLIGATOIRE</w:t>
            </w:r>
          </w:p>
        </w:tc>
        <w:tc>
          <w:tcPr>
            <w:tcW w:w="2338" w:type="dxa"/>
            <w:shd w:val="clear" w:color="auto" w:fill="C00000"/>
            <w:vAlign w:val="center"/>
          </w:tcPr>
          <w:p w14:paraId="208506B7" w14:textId="77777777" w:rsidR="00D14EB5" w:rsidRDefault="00D14EB5" w:rsidP="00DA7CA1">
            <w:pPr>
              <w:jc w:val="center"/>
              <w:rPr>
                <w:lang w:val="fr-CA"/>
              </w:rPr>
            </w:pPr>
            <w:r w:rsidRPr="00D14EB5">
              <w:rPr>
                <w:color w:val="000000" w:themeColor="text1"/>
                <w:lang w:val="fr-CA"/>
              </w:rPr>
              <w:t>OBLIGATOIRE</w:t>
            </w:r>
          </w:p>
        </w:tc>
      </w:tr>
    </w:tbl>
    <w:p w14:paraId="2626C4E3" w14:textId="77777777" w:rsidR="00D14EB5" w:rsidRDefault="00D14EB5" w:rsidP="0011668E">
      <w:pPr>
        <w:rPr>
          <w:lang w:val="fr-CA"/>
        </w:rPr>
      </w:pPr>
    </w:p>
    <w:p w14:paraId="43838F3E" w14:textId="11A3D040" w:rsidR="00470A8D" w:rsidRPr="00BD1C76" w:rsidRDefault="00DC2E4F" w:rsidP="00BD1C76">
      <w:pPr>
        <w:shd w:val="clear" w:color="auto" w:fill="595959" w:themeFill="text1" w:themeFillTint="A6"/>
        <w:rPr>
          <w:b/>
          <w:bCs/>
          <w:color w:val="FFFFFF" w:themeColor="background1"/>
          <w:lang w:val="fr-CA"/>
        </w:rPr>
      </w:pPr>
      <w:r w:rsidRPr="00BD1C76">
        <w:rPr>
          <w:b/>
          <w:bCs/>
          <w:color w:val="FFFFFF" w:themeColor="background1"/>
          <w:lang w:val="fr-CA"/>
        </w:rPr>
        <w:t>TEXTE DE RÉFÉRENCE POUR LES COMPOSANTES</w:t>
      </w:r>
      <w:r w:rsidR="00470A8D" w:rsidRPr="00BD1C76">
        <w:rPr>
          <w:b/>
          <w:bCs/>
          <w:color w:val="FFFFFF" w:themeColor="background1"/>
          <w:lang w:val="fr-CA"/>
        </w:rPr>
        <w:t xml:space="preserve"> IDENTIQUES</w:t>
      </w:r>
      <w:r w:rsidR="005879B8" w:rsidRPr="00BD1C76">
        <w:rPr>
          <w:b/>
          <w:bCs/>
          <w:color w:val="FFFFFF" w:themeColor="background1"/>
          <w:lang w:val="fr-CA"/>
        </w:rPr>
        <w:t xml:space="preserve"> AUX POLITIQUES DE TYPE 1, 2 ET 3</w:t>
      </w:r>
    </w:p>
    <w:p w14:paraId="7C7C86D0" w14:textId="766D5CD9" w:rsidR="00470A8D" w:rsidRDefault="00470A8D" w:rsidP="0011668E">
      <w:pPr>
        <w:rPr>
          <w:lang w:val="fr-CA"/>
        </w:rPr>
      </w:pPr>
    </w:p>
    <w:p w14:paraId="5C8FF5AE" w14:textId="1EE28DAB" w:rsidR="000F4A59" w:rsidRPr="000F4A59" w:rsidRDefault="000F4A59" w:rsidP="00E3529E">
      <w:pPr>
        <w:shd w:val="clear" w:color="auto" w:fill="D9D9D9" w:themeFill="background1" w:themeFillShade="D9"/>
        <w:rPr>
          <w:b/>
          <w:bCs/>
          <w:lang w:val="fr-CA"/>
        </w:rPr>
      </w:pPr>
      <w:r w:rsidRPr="000F4A59">
        <w:rPr>
          <w:b/>
          <w:bCs/>
          <w:lang w:val="fr-CA"/>
        </w:rPr>
        <w:t>Définition des exceptions</w:t>
      </w:r>
    </w:p>
    <w:p w14:paraId="131E4E47" w14:textId="66CCF396" w:rsidR="000F4A59" w:rsidRDefault="000F4A59" w:rsidP="0011668E">
      <w:pPr>
        <w:rPr>
          <w:lang w:val="fr-CA"/>
        </w:rPr>
      </w:pPr>
      <w:r w:rsidRPr="000F4A59">
        <w:rPr>
          <w:lang w:val="fr-CA"/>
        </w:rPr>
        <w:t>Défini</w:t>
      </w:r>
      <w:r w:rsidR="005146B7">
        <w:rPr>
          <w:lang w:val="fr-CA"/>
        </w:rPr>
        <w:t>t</w:t>
      </w:r>
      <w:r w:rsidRPr="000F4A59">
        <w:rPr>
          <w:lang w:val="fr-CA"/>
        </w:rPr>
        <w:t xml:space="preserve"> les données qui n'ont pas besoin d'être, ou qui ne doivent pas être mises à la disposition du public, dans le cadre de la politique de données de la revue, ainsi que les autres options de description de la disponibilité des données.</w:t>
      </w:r>
    </w:p>
    <w:p w14:paraId="1C9DA4FF" w14:textId="120AB1D6" w:rsidR="000F4A59" w:rsidRDefault="000F4A59" w:rsidP="0011668E">
      <w:pPr>
        <w:rPr>
          <w:lang w:val="fr-CA"/>
        </w:rPr>
      </w:pPr>
    </w:p>
    <w:p w14:paraId="3F5519A3" w14:textId="7BDE2D1D" w:rsidR="005146B7" w:rsidRDefault="005146B7" w:rsidP="005146B7">
      <w:pPr>
        <w:pBdr>
          <w:top w:val="single" w:sz="4" w:space="1" w:color="auto"/>
          <w:left w:val="single" w:sz="4" w:space="4" w:color="auto"/>
          <w:bottom w:val="single" w:sz="4" w:space="1" w:color="auto"/>
          <w:right w:val="single" w:sz="4" w:space="4" w:color="auto"/>
        </w:pBdr>
        <w:rPr>
          <w:lang w:val="fr-CA"/>
        </w:rPr>
      </w:pPr>
      <w:r>
        <w:rPr>
          <w:lang w:val="fr-CA"/>
        </w:rPr>
        <w:t>Texte de référence proposé</w:t>
      </w:r>
    </w:p>
    <w:p w14:paraId="6E91A7DF" w14:textId="77777777" w:rsidR="005146B7" w:rsidRPr="005146B7" w:rsidRDefault="005146B7" w:rsidP="005146B7">
      <w:pPr>
        <w:ind w:left="100"/>
        <w:jc w:val="both"/>
        <w:rPr>
          <w:lang w:val="fr-CA"/>
        </w:rPr>
      </w:pPr>
      <w:r w:rsidRPr="005146B7">
        <w:rPr>
          <w:lang w:val="fr-CA"/>
        </w:rPr>
        <w:t>Les données de recherche qui ne sont pas nécessaires pour vérifier les résultats rapportés dans les articles ne sont pas couvertes par cette politique.</w:t>
      </w:r>
    </w:p>
    <w:p w14:paraId="64E21A68" w14:textId="77777777" w:rsidR="005146B7" w:rsidRPr="005146B7" w:rsidRDefault="005146B7" w:rsidP="005146B7">
      <w:pPr>
        <w:ind w:left="100"/>
        <w:jc w:val="both"/>
        <w:rPr>
          <w:lang w:val="fr-CA"/>
        </w:rPr>
      </w:pPr>
      <w:r w:rsidRPr="005146B7">
        <w:rPr>
          <w:lang w:val="fr-CA"/>
        </w:rPr>
        <w:t xml:space="preserve">Cette politique n'exige pas le partage public de données quantitatives ou qualitatives qui pourraient identifier un participant à la recherche, à moins que les participants n'aient consenti à la divulgation des données. La politique n'exige pas non plus le partage public d'autres </w:t>
      </w:r>
      <w:r w:rsidRPr="005146B7">
        <w:rPr>
          <w:lang w:val="fr-CA"/>
        </w:rPr>
        <w:lastRenderedPageBreak/>
        <w:t>données sensibles, telles que l'emplacement d'espèces menacées. Les alternatives au partage public de données sensibles ou personnelles incluent :</w:t>
      </w:r>
    </w:p>
    <w:p w14:paraId="511C067C" w14:textId="77777777" w:rsidR="005146B7" w:rsidRPr="005146B7" w:rsidRDefault="005146B7" w:rsidP="005146B7">
      <w:pPr>
        <w:numPr>
          <w:ilvl w:val="0"/>
          <w:numId w:val="38"/>
        </w:numPr>
        <w:jc w:val="both"/>
        <w:rPr>
          <w:lang w:val="fr-CA"/>
        </w:rPr>
      </w:pPr>
      <w:r w:rsidRPr="005146B7">
        <w:rPr>
          <w:lang w:val="fr-CA"/>
        </w:rPr>
        <w:t>Dépôt des données de recherche dans des plateformes à accès contrôlé.</w:t>
      </w:r>
    </w:p>
    <w:p w14:paraId="3B31A2CE" w14:textId="77777777" w:rsidR="005146B7" w:rsidRPr="005146B7" w:rsidRDefault="005146B7" w:rsidP="005146B7">
      <w:pPr>
        <w:numPr>
          <w:ilvl w:val="0"/>
          <w:numId w:val="38"/>
        </w:numPr>
        <w:jc w:val="both"/>
        <w:rPr>
          <w:lang w:val="fr-CA"/>
        </w:rPr>
      </w:pPr>
      <w:r w:rsidRPr="005146B7">
        <w:rPr>
          <w:lang w:val="fr-CA"/>
        </w:rPr>
        <w:t xml:space="preserve">Anonymisation ou </w:t>
      </w:r>
      <w:proofErr w:type="spellStart"/>
      <w:r w:rsidRPr="005146B7">
        <w:rPr>
          <w:lang w:val="fr-CA"/>
        </w:rPr>
        <w:t>pseudoanonymisation</w:t>
      </w:r>
      <w:proofErr w:type="spellEnd"/>
      <w:r w:rsidRPr="005146B7">
        <w:rPr>
          <w:lang w:val="fr-CA"/>
        </w:rPr>
        <w:t xml:space="preserve"> des données avant le partage public</w:t>
      </w:r>
    </w:p>
    <w:p w14:paraId="7A3F97EB" w14:textId="77777777" w:rsidR="005146B7" w:rsidRPr="005146B7" w:rsidRDefault="005146B7" w:rsidP="005146B7">
      <w:pPr>
        <w:numPr>
          <w:ilvl w:val="0"/>
          <w:numId w:val="38"/>
        </w:numPr>
        <w:jc w:val="both"/>
        <w:rPr>
          <w:lang w:val="fr-CA"/>
        </w:rPr>
      </w:pPr>
      <w:r w:rsidRPr="005146B7">
        <w:rPr>
          <w:lang w:val="fr-CA"/>
        </w:rPr>
        <w:t>Partage des métadonnées sur les données de la recherche, seulement</w:t>
      </w:r>
    </w:p>
    <w:p w14:paraId="1575BEDA" w14:textId="33596EF2" w:rsidR="005146B7" w:rsidRDefault="005146B7" w:rsidP="005146B7">
      <w:pPr>
        <w:pStyle w:val="Paragraphedeliste"/>
        <w:numPr>
          <w:ilvl w:val="0"/>
          <w:numId w:val="38"/>
        </w:numPr>
        <w:jc w:val="both"/>
        <w:rPr>
          <w:lang w:val="fr-CA"/>
        </w:rPr>
      </w:pPr>
      <w:r w:rsidRPr="005146B7">
        <w:rPr>
          <w:lang w:val="fr-CA"/>
        </w:rPr>
        <w:t>Signalement des procédures d'accès à vos données de recherche dans votre article et gestion des demandes d'accès aux données provenant des autres chercheurs.</w:t>
      </w:r>
    </w:p>
    <w:p w14:paraId="09020299" w14:textId="2EF94F9F" w:rsidR="005146B7" w:rsidRDefault="005146B7" w:rsidP="005146B7">
      <w:pPr>
        <w:pBdr>
          <w:bottom w:val="single" w:sz="4" w:space="1" w:color="auto"/>
        </w:pBdr>
        <w:rPr>
          <w:lang w:val="fr-CA"/>
        </w:rPr>
      </w:pPr>
    </w:p>
    <w:p w14:paraId="2D7064B9" w14:textId="77777777" w:rsidR="005146B7" w:rsidRDefault="005146B7" w:rsidP="005146B7">
      <w:pPr>
        <w:rPr>
          <w:lang w:val="fr-CA"/>
        </w:rPr>
      </w:pPr>
    </w:p>
    <w:p w14:paraId="0BBC78B6" w14:textId="277FC5DA" w:rsidR="005146B7" w:rsidRPr="005146B7" w:rsidRDefault="005146B7" w:rsidP="00E3529E">
      <w:pPr>
        <w:shd w:val="clear" w:color="auto" w:fill="D9D9D9" w:themeFill="background1" w:themeFillShade="D9"/>
        <w:rPr>
          <w:b/>
          <w:bCs/>
          <w:lang w:val="fr-CA"/>
        </w:rPr>
      </w:pPr>
      <w:r w:rsidRPr="005146B7">
        <w:rPr>
          <w:b/>
          <w:bCs/>
          <w:lang w:val="fr-CA"/>
        </w:rPr>
        <w:t>Embargo</w:t>
      </w:r>
    </w:p>
    <w:p w14:paraId="2ED41477" w14:textId="69493445" w:rsidR="005146B7" w:rsidRDefault="005146B7" w:rsidP="005146B7">
      <w:pPr>
        <w:rPr>
          <w:lang w:val="fr-CA"/>
        </w:rPr>
      </w:pPr>
      <w:r w:rsidRPr="005146B7">
        <w:rPr>
          <w:lang w:val="fr-CA"/>
        </w:rPr>
        <w:t>Défini</w:t>
      </w:r>
      <w:r w:rsidR="000D4561">
        <w:rPr>
          <w:lang w:val="fr-CA"/>
        </w:rPr>
        <w:t>t</w:t>
      </w:r>
      <w:r w:rsidRPr="005146B7">
        <w:rPr>
          <w:lang w:val="fr-CA"/>
        </w:rPr>
        <w:t xml:space="preserve"> si et quels embargos sur la diffusion des données sont autorisés</w:t>
      </w:r>
      <w:r w:rsidR="000D4561">
        <w:rPr>
          <w:lang w:val="fr-CA"/>
        </w:rPr>
        <w:t>.</w:t>
      </w:r>
    </w:p>
    <w:p w14:paraId="0D89CEB3" w14:textId="38673593" w:rsidR="000D4561" w:rsidRDefault="000D4561" w:rsidP="005146B7">
      <w:pPr>
        <w:rPr>
          <w:lang w:val="fr-CA"/>
        </w:rPr>
      </w:pPr>
    </w:p>
    <w:p w14:paraId="6A7F2191" w14:textId="30DD2E4D" w:rsidR="000D4561" w:rsidRDefault="000D4561" w:rsidP="00C4026E">
      <w:pPr>
        <w:pBdr>
          <w:top w:val="single" w:sz="4" w:space="1" w:color="auto"/>
          <w:left w:val="single" w:sz="4" w:space="4" w:color="auto"/>
          <w:bottom w:val="single" w:sz="4" w:space="1" w:color="auto"/>
          <w:right w:val="single" w:sz="4" w:space="4" w:color="auto"/>
        </w:pBdr>
        <w:rPr>
          <w:lang w:val="fr-CA"/>
        </w:rPr>
      </w:pPr>
      <w:r>
        <w:rPr>
          <w:lang w:val="fr-CA"/>
        </w:rPr>
        <w:t>Texte de référence</w:t>
      </w:r>
    </w:p>
    <w:p w14:paraId="30460296" w14:textId="49F9C7BD" w:rsidR="000D4561" w:rsidRDefault="00C4026E" w:rsidP="005146B7">
      <w:pPr>
        <w:rPr>
          <w:lang w:val="fr-CA"/>
        </w:rPr>
      </w:pPr>
      <w:r w:rsidRPr="00C4026E">
        <w:rPr>
          <w:lang w:val="fr-CA"/>
        </w:rPr>
        <w:t>Les embargos sur le partage des données sont autorisés.</w:t>
      </w:r>
    </w:p>
    <w:p w14:paraId="0E708537" w14:textId="0DB34382" w:rsidR="00C4026E" w:rsidRDefault="00C4026E" w:rsidP="00C4026E">
      <w:pPr>
        <w:pBdr>
          <w:bottom w:val="single" w:sz="4" w:space="1" w:color="auto"/>
        </w:pBdr>
        <w:rPr>
          <w:lang w:val="fr-CA"/>
        </w:rPr>
      </w:pPr>
    </w:p>
    <w:p w14:paraId="3131925E" w14:textId="3E821864" w:rsidR="00C4026E" w:rsidRDefault="00C4026E" w:rsidP="005146B7">
      <w:pPr>
        <w:rPr>
          <w:lang w:val="fr-CA"/>
        </w:rPr>
      </w:pPr>
    </w:p>
    <w:p w14:paraId="1FEE77B1" w14:textId="0B39E37E" w:rsidR="00C4026E" w:rsidRDefault="00C4026E" w:rsidP="00E3529E">
      <w:pPr>
        <w:shd w:val="clear" w:color="auto" w:fill="D9D9D9" w:themeFill="background1" w:themeFillShade="D9"/>
        <w:rPr>
          <w:b/>
          <w:bCs/>
          <w:lang w:val="fr-CA"/>
        </w:rPr>
      </w:pPr>
      <w:r w:rsidRPr="00C4026E">
        <w:rPr>
          <w:b/>
          <w:bCs/>
          <w:lang w:val="fr-CA"/>
        </w:rPr>
        <w:t>Matériel supplémentaire</w:t>
      </w:r>
    </w:p>
    <w:p w14:paraId="601C2A1E" w14:textId="33BA15D4" w:rsidR="00C4026E" w:rsidRDefault="00C4026E" w:rsidP="005146B7">
      <w:pPr>
        <w:rPr>
          <w:lang w:val="fr-CA"/>
        </w:rPr>
      </w:pPr>
      <w:r w:rsidRPr="00C4026E">
        <w:rPr>
          <w:lang w:val="fr-CA"/>
        </w:rPr>
        <w:t>Définit la position de la revue sur le partage des données via des documents supplémentaires et si et quand le partage de données en tant que matériel supplémentaire est autorisé par la politique.</w:t>
      </w:r>
    </w:p>
    <w:p w14:paraId="4F2F842D" w14:textId="4ADC3F80" w:rsidR="00C4026E" w:rsidRDefault="00C4026E" w:rsidP="005146B7">
      <w:pPr>
        <w:rPr>
          <w:lang w:val="fr-CA"/>
        </w:rPr>
      </w:pPr>
    </w:p>
    <w:p w14:paraId="7E7CED5C" w14:textId="46618F51" w:rsidR="00C4026E" w:rsidRDefault="00C4026E" w:rsidP="00C4026E">
      <w:pPr>
        <w:pBdr>
          <w:top w:val="single" w:sz="4" w:space="1" w:color="auto"/>
          <w:left w:val="single" w:sz="4" w:space="4" w:color="auto"/>
          <w:bottom w:val="single" w:sz="4" w:space="1" w:color="auto"/>
          <w:right w:val="single" w:sz="4" w:space="4" w:color="auto"/>
        </w:pBdr>
        <w:rPr>
          <w:lang w:val="fr-CA"/>
        </w:rPr>
      </w:pPr>
      <w:r>
        <w:rPr>
          <w:lang w:val="fr-CA"/>
        </w:rPr>
        <w:t>Texte de référence proposé</w:t>
      </w:r>
    </w:p>
    <w:p w14:paraId="0B09B99B" w14:textId="6736E8A1" w:rsidR="00C4026E" w:rsidRDefault="00C4026E" w:rsidP="005146B7">
      <w:pPr>
        <w:rPr>
          <w:lang w:val="fr-CA"/>
        </w:rPr>
      </w:pPr>
      <w:r w:rsidRPr="00C4026E">
        <w:rPr>
          <w:lang w:val="fr-CA"/>
        </w:rPr>
        <w:t>Le partage des données de recherche sous forme de fichiers d'informations supplémentaires est déconseillé</w:t>
      </w:r>
      <w:r>
        <w:rPr>
          <w:lang w:val="fr-CA"/>
        </w:rPr>
        <w:t xml:space="preserve">, particulièrement </w:t>
      </w:r>
      <w:r w:rsidRPr="00C4026E">
        <w:rPr>
          <w:lang w:val="fr-CA"/>
        </w:rPr>
        <w:t>l’utilisation des entrepôts de statut privé dont la feuille de route n’est pas transparente :</w:t>
      </w:r>
      <w:r>
        <w:rPr>
          <w:lang w:val="fr-CA"/>
        </w:rPr>
        <w:t xml:space="preserve">au niveau par exemple de leur </w:t>
      </w:r>
      <w:r w:rsidRPr="00C4026E">
        <w:rPr>
          <w:lang w:val="fr-CA"/>
        </w:rPr>
        <w:t>modèle économique, gouvernance, pérennit</w:t>
      </w:r>
      <w:r>
        <w:rPr>
          <w:lang w:val="fr-CA"/>
        </w:rPr>
        <w:t>é</w:t>
      </w:r>
      <w:r w:rsidRPr="00C4026E">
        <w:rPr>
          <w:lang w:val="fr-CA"/>
        </w:rPr>
        <w:t xml:space="preserve"> (ex.</w:t>
      </w:r>
      <w:r>
        <w:rPr>
          <w:lang w:val="fr-CA"/>
        </w:rPr>
        <w:t xml:space="preserve"> : </w:t>
      </w:r>
      <w:proofErr w:type="spellStart"/>
      <w:r w:rsidRPr="00C4026E">
        <w:rPr>
          <w:lang w:val="fr-CA"/>
        </w:rPr>
        <w:t>Figshare</w:t>
      </w:r>
      <w:proofErr w:type="spellEnd"/>
      <w:r w:rsidRPr="00C4026E">
        <w:rPr>
          <w:lang w:val="fr-CA"/>
        </w:rPr>
        <w:t>).</w:t>
      </w:r>
    </w:p>
    <w:p w14:paraId="40875582" w14:textId="5640AC09" w:rsidR="00C4026E" w:rsidRDefault="00C4026E" w:rsidP="0042052B">
      <w:pPr>
        <w:pBdr>
          <w:bottom w:val="single" w:sz="4" w:space="1" w:color="auto"/>
        </w:pBdr>
        <w:rPr>
          <w:lang w:val="fr-CA"/>
        </w:rPr>
      </w:pPr>
    </w:p>
    <w:p w14:paraId="0A14C72A" w14:textId="77777777" w:rsidR="0042052B" w:rsidRDefault="0042052B" w:rsidP="005146B7">
      <w:pPr>
        <w:rPr>
          <w:lang w:val="fr-CA"/>
        </w:rPr>
      </w:pPr>
    </w:p>
    <w:p w14:paraId="431588D6" w14:textId="00A8231C" w:rsidR="00C4026E" w:rsidRPr="0042052B" w:rsidRDefault="00C4026E" w:rsidP="00E3529E">
      <w:pPr>
        <w:shd w:val="clear" w:color="auto" w:fill="D9D9D9" w:themeFill="background1" w:themeFillShade="D9"/>
        <w:rPr>
          <w:b/>
          <w:bCs/>
          <w:lang w:val="fr-CA"/>
        </w:rPr>
      </w:pPr>
      <w:r w:rsidRPr="0042052B">
        <w:rPr>
          <w:b/>
          <w:bCs/>
          <w:lang w:val="fr-CA"/>
        </w:rPr>
        <w:t>Dépôts de données</w:t>
      </w:r>
    </w:p>
    <w:p w14:paraId="3D6CCE9F" w14:textId="234F81ED" w:rsidR="00C4026E" w:rsidRDefault="00C4026E" w:rsidP="005146B7">
      <w:pPr>
        <w:rPr>
          <w:lang w:val="fr-CA"/>
        </w:rPr>
      </w:pPr>
      <w:r w:rsidRPr="00C4026E">
        <w:rPr>
          <w:lang w:val="fr-CA"/>
        </w:rPr>
        <w:t>Établit la position sur l'utilisation des dépôts de données. Les dépôts de données sont le mécanisme privilégié pour le partage des données avec la communauté. Les dépôts disciplinaires sont préférés aux dépôts généraux, lorsqu'ils sont disponibles.</w:t>
      </w:r>
    </w:p>
    <w:p w14:paraId="3C38273B" w14:textId="5145DCDF" w:rsidR="00C4026E" w:rsidRDefault="00C4026E" w:rsidP="005146B7">
      <w:pPr>
        <w:rPr>
          <w:lang w:val="fr-CA"/>
        </w:rPr>
      </w:pPr>
    </w:p>
    <w:p w14:paraId="00373A12" w14:textId="2E982C0D" w:rsidR="00C4026E" w:rsidRDefault="00C4026E" w:rsidP="0042052B">
      <w:pPr>
        <w:pBdr>
          <w:top w:val="single" w:sz="4" w:space="1" w:color="auto"/>
          <w:left w:val="single" w:sz="4" w:space="4" w:color="auto"/>
          <w:bottom w:val="single" w:sz="4" w:space="1" w:color="auto"/>
          <w:right w:val="single" w:sz="4" w:space="4" w:color="auto"/>
        </w:pBdr>
        <w:rPr>
          <w:lang w:val="fr-CA"/>
        </w:rPr>
      </w:pPr>
      <w:r>
        <w:rPr>
          <w:lang w:val="fr-CA"/>
        </w:rPr>
        <w:t>Texte de référence</w:t>
      </w:r>
    </w:p>
    <w:p w14:paraId="1EDEB4EF" w14:textId="0AC5D008" w:rsidR="00C4026E" w:rsidRPr="0042052B" w:rsidRDefault="00C4026E" w:rsidP="005146B7">
      <w:pPr>
        <w:rPr>
          <w:lang w:val="fr-CA"/>
        </w:rPr>
      </w:pPr>
      <w:r w:rsidRPr="0042052B">
        <w:rPr>
          <w:lang w:val="fr-CA"/>
        </w:rPr>
        <w:t xml:space="preserve">Le mécanisme privilégié pour le partage des données de recherche est celui des dépôts de données. Veuillez consulter </w:t>
      </w:r>
      <w:r w:rsidRPr="0042052B">
        <w:rPr>
          <w:b/>
          <w:bCs/>
          <w:lang w:val="fr-CA"/>
        </w:rPr>
        <w:t>&lt;la liste des dépôts recommandés&gt;</w:t>
      </w:r>
      <w:r w:rsidRPr="0042052B">
        <w:rPr>
          <w:lang w:val="fr-CA"/>
        </w:rPr>
        <w:t xml:space="preserve"> ou </w:t>
      </w:r>
      <w:hyperlink r:id="rId13">
        <w:r w:rsidRPr="0042052B">
          <w:rPr>
            <w:color w:val="1155CC"/>
            <w:u w:val="single"/>
            <w:lang w:val="fr-CA"/>
          </w:rPr>
          <w:t>https://repositoryfinder.datacite.org/</w:t>
        </w:r>
      </w:hyperlink>
      <w:r w:rsidRPr="0042052B">
        <w:rPr>
          <w:lang w:val="fr-CA"/>
        </w:rPr>
        <w:t xml:space="preserve"> pour trouver des dépôts de données de recherche.</w:t>
      </w:r>
    </w:p>
    <w:p w14:paraId="2431F696" w14:textId="6D1E84E8" w:rsidR="00C4026E" w:rsidRDefault="00C4026E" w:rsidP="0042052B">
      <w:pPr>
        <w:pBdr>
          <w:bottom w:val="single" w:sz="4" w:space="1" w:color="auto"/>
        </w:pBdr>
        <w:rPr>
          <w:lang w:val="fr-CA"/>
        </w:rPr>
      </w:pPr>
    </w:p>
    <w:p w14:paraId="46DDB82F" w14:textId="33DBC9D2" w:rsidR="0042052B" w:rsidRDefault="0042052B" w:rsidP="005146B7">
      <w:pPr>
        <w:rPr>
          <w:lang w:val="fr-CA"/>
        </w:rPr>
      </w:pPr>
    </w:p>
    <w:p w14:paraId="11DA50D6" w14:textId="4B9AB47C" w:rsidR="00677BBF" w:rsidRDefault="00677BBF" w:rsidP="005146B7">
      <w:pPr>
        <w:rPr>
          <w:lang w:val="fr-CA"/>
        </w:rPr>
      </w:pPr>
      <w:r>
        <w:rPr>
          <w:lang w:val="fr-CA"/>
        </w:rPr>
        <w:t xml:space="preserve">La revue </w:t>
      </w:r>
      <w:r w:rsidR="00E3529E">
        <w:rPr>
          <w:lang w:val="fr-CA"/>
        </w:rPr>
        <w:t xml:space="preserve">peut </w:t>
      </w:r>
      <w:r>
        <w:rPr>
          <w:lang w:val="fr-CA"/>
        </w:rPr>
        <w:t xml:space="preserve">demander la création d’une collection Dataverse dans la plateforme institutionnelle des données de recherche de l’UQAM : </w:t>
      </w:r>
      <w:hyperlink r:id="rId14" w:history="1">
        <w:r w:rsidRPr="008B399B">
          <w:rPr>
            <w:rStyle w:val="Lienhypertexte"/>
            <w:lang w:val="fr-CA"/>
          </w:rPr>
          <w:t>https://dataverse.scholarsportal.info/dataverse/uqam</w:t>
        </w:r>
      </w:hyperlink>
      <w:r>
        <w:rPr>
          <w:lang w:val="fr-CA"/>
        </w:rPr>
        <w:t xml:space="preserve"> . Documentation : </w:t>
      </w:r>
      <w:hyperlink r:id="rId15" w:history="1">
        <w:r w:rsidRPr="008B399B">
          <w:rPr>
            <w:rStyle w:val="Lienhypertexte"/>
            <w:lang w:val="fr-CA"/>
          </w:rPr>
          <w:t>https://dataverse.org/journals</w:t>
        </w:r>
      </w:hyperlink>
      <w:r>
        <w:rPr>
          <w:lang w:val="fr-CA"/>
        </w:rPr>
        <w:t xml:space="preserve"> </w:t>
      </w:r>
    </w:p>
    <w:p w14:paraId="06DAC2AA" w14:textId="0D33DB31" w:rsidR="0042052B" w:rsidRPr="00794B2F" w:rsidRDefault="0042052B" w:rsidP="00E3529E">
      <w:pPr>
        <w:shd w:val="clear" w:color="auto" w:fill="D9D9D9" w:themeFill="background1" w:themeFillShade="D9"/>
        <w:rPr>
          <w:b/>
          <w:bCs/>
          <w:lang w:val="fr-CA"/>
        </w:rPr>
      </w:pPr>
      <w:r w:rsidRPr="00794B2F">
        <w:rPr>
          <w:b/>
          <w:bCs/>
          <w:lang w:val="fr-CA"/>
        </w:rPr>
        <w:lastRenderedPageBreak/>
        <w:t>Citation des données</w:t>
      </w:r>
    </w:p>
    <w:p w14:paraId="184542A5" w14:textId="3E13728A" w:rsidR="0042052B" w:rsidRDefault="00794B2F" w:rsidP="00794B2F">
      <w:pPr>
        <w:rPr>
          <w:lang w:val="fr-CA"/>
        </w:rPr>
      </w:pPr>
      <w:r w:rsidRPr="00794B2F">
        <w:rPr>
          <w:lang w:val="fr-CA"/>
        </w:rPr>
        <w:t>Déclaration sur le soutien de la revue au recours</w:t>
      </w:r>
      <w:r>
        <w:rPr>
          <w:lang w:val="fr-CA"/>
        </w:rPr>
        <w:t xml:space="preserve"> </w:t>
      </w:r>
      <w:r w:rsidRPr="00794B2F">
        <w:rPr>
          <w:lang w:val="fr-CA"/>
        </w:rPr>
        <w:t>d'identificateurs pérennes pour les données de recherche appuyant les publications, et déclaration de soutien au recours d'identifiants pérennes pour les données à inclure dans la liste des références en tant que citations formelles. Indique si la citation des données est</w:t>
      </w:r>
      <w:r>
        <w:rPr>
          <w:lang w:val="fr-CA"/>
        </w:rPr>
        <w:t xml:space="preserve"> </w:t>
      </w:r>
      <w:r w:rsidRPr="00794B2F">
        <w:rPr>
          <w:lang w:val="fr-CA"/>
        </w:rPr>
        <w:t>encouragée ou requise.</w:t>
      </w:r>
    </w:p>
    <w:p w14:paraId="3C4C6118" w14:textId="77777777" w:rsidR="00794B2F" w:rsidRDefault="00794B2F" w:rsidP="005146B7">
      <w:pPr>
        <w:rPr>
          <w:lang w:val="fr-CA"/>
        </w:rPr>
      </w:pPr>
    </w:p>
    <w:p w14:paraId="754E9669" w14:textId="2883E40B" w:rsidR="0042052B" w:rsidRDefault="0042052B" w:rsidP="0042052B">
      <w:pPr>
        <w:pBdr>
          <w:top w:val="single" w:sz="4" w:space="1" w:color="auto"/>
          <w:left w:val="single" w:sz="4" w:space="4" w:color="auto"/>
          <w:bottom w:val="single" w:sz="4" w:space="1" w:color="auto"/>
          <w:right w:val="single" w:sz="4" w:space="4" w:color="auto"/>
        </w:pBdr>
        <w:rPr>
          <w:lang w:val="fr-CA"/>
        </w:rPr>
      </w:pPr>
      <w:r>
        <w:rPr>
          <w:lang w:val="fr-CA"/>
        </w:rPr>
        <w:t>Texte de référence</w:t>
      </w:r>
    </w:p>
    <w:p w14:paraId="66C3AEE5" w14:textId="0C0AF3A4" w:rsidR="0042052B" w:rsidRPr="0042052B" w:rsidRDefault="0042052B" w:rsidP="00794B2F">
      <w:pPr>
        <w:jc w:val="both"/>
        <w:rPr>
          <w:lang w:val="fr-CA"/>
        </w:rPr>
      </w:pPr>
      <w:r w:rsidRPr="0042052B">
        <w:rPr>
          <w:lang w:val="fr-CA"/>
        </w:rPr>
        <w:t xml:space="preserve">La revue encourage les auteurs à citer toute donnée de recherche publiquement disponible dans leur liste de références. Les références aux ensembles de données (citations de données) doivent inclure un identifiant permanent (tel qu'un DOI). Les citations d'ensembles de données, lorsqu'elles apparaissent dans la liste de références, doivent inclure les </w:t>
      </w:r>
      <w:hyperlink r:id="rId16" w:history="1">
        <w:r w:rsidRPr="0042052B">
          <w:rPr>
            <w:rStyle w:val="Lienhypertexte"/>
            <w:lang w:val="fr-CA"/>
          </w:rPr>
          <w:t xml:space="preserve">informations minimales recommandées par </w:t>
        </w:r>
        <w:proofErr w:type="spellStart"/>
        <w:r w:rsidRPr="0042052B">
          <w:rPr>
            <w:rStyle w:val="Lienhypertexte"/>
            <w:lang w:val="fr-CA"/>
          </w:rPr>
          <w:t>DataCite</w:t>
        </w:r>
        <w:proofErr w:type="spellEnd"/>
      </w:hyperlink>
      <w:r w:rsidRPr="0042052B">
        <w:rPr>
          <w:lang w:val="fr-CA"/>
        </w:rPr>
        <w:t xml:space="preserve"> et respecter le style de la revue.</w:t>
      </w:r>
    </w:p>
    <w:p w14:paraId="7E2DA021" w14:textId="10892BD2" w:rsidR="0042052B" w:rsidRDefault="0042052B" w:rsidP="0042052B">
      <w:pPr>
        <w:pBdr>
          <w:bottom w:val="single" w:sz="4" w:space="1" w:color="auto"/>
        </w:pBdr>
        <w:rPr>
          <w:lang w:val="fr-CA"/>
        </w:rPr>
      </w:pPr>
    </w:p>
    <w:p w14:paraId="7962E2F7" w14:textId="7428F504" w:rsidR="0042052B" w:rsidRDefault="0042052B" w:rsidP="005146B7">
      <w:pPr>
        <w:rPr>
          <w:lang w:val="fr-CA"/>
        </w:rPr>
      </w:pPr>
    </w:p>
    <w:p w14:paraId="3F79A51A" w14:textId="6ACB6453" w:rsidR="00794B2F" w:rsidRDefault="00794B2F" w:rsidP="00E3529E">
      <w:pPr>
        <w:shd w:val="clear" w:color="auto" w:fill="D9D9D9" w:themeFill="background1" w:themeFillShade="D9"/>
        <w:rPr>
          <w:lang w:val="fr-CA"/>
        </w:rPr>
      </w:pPr>
      <w:r w:rsidRPr="00794B2F">
        <w:rPr>
          <w:b/>
          <w:bCs/>
          <w:lang w:val="fr-CA"/>
        </w:rPr>
        <w:t>Déclaration d’accessibilité des données</w:t>
      </w:r>
    </w:p>
    <w:p w14:paraId="624C9FD3" w14:textId="4CD06C0C" w:rsidR="00794B2F" w:rsidRDefault="00794B2F" w:rsidP="00E3529E">
      <w:pPr>
        <w:ind w:left="720"/>
        <w:rPr>
          <w:lang w:val="fr-CA"/>
        </w:rPr>
      </w:pPr>
      <w:r w:rsidRPr="00794B2F">
        <w:rPr>
          <w:b/>
          <w:bCs/>
          <w:lang w:val="fr-CA"/>
        </w:rPr>
        <w:t>Note :</w:t>
      </w:r>
      <w:r>
        <w:rPr>
          <w:lang w:val="fr-CA"/>
        </w:rPr>
        <w:t xml:space="preserve"> Rubrique absente pour les politiques de type 1</w:t>
      </w:r>
    </w:p>
    <w:p w14:paraId="1CC94D46" w14:textId="00216AD4" w:rsidR="00794B2F" w:rsidRDefault="00794B2F" w:rsidP="005146B7">
      <w:pPr>
        <w:rPr>
          <w:lang w:val="fr-CA"/>
        </w:rPr>
      </w:pPr>
      <w:r w:rsidRPr="00794B2F">
        <w:rPr>
          <w:lang w:val="fr-CA"/>
        </w:rPr>
        <w:t>Définit la position de la revue sur la présence de déclarations d'accessibilité des données dans la publication.</w:t>
      </w:r>
    </w:p>
    <w:p w14:paraId="1D0BE703" w14:textId="6CAA2712" w:rsidR="00794B2F" w:rsidRDefault="00794B2F" w:rsidP="005146B7">
      <w:pPr>
        <w:rPr>
          <w:lang w:val="fr-CA"/>
        </w:rPr>
      </w:pPr>
    </w:p>
    <w:p w14:paraId="56A9C29E" w14:textId="248D6C80" w:rsidR="00794B2F" w:rsidRDefault="00794B2F" w:rsidP="00794B2F">
      <w:pPr>
        <w:pBdr>
          <w:top w:val="single" w:sz="4" w:space="1" w:color="auto"/>
          <w:left w:val="single" w:sz="4" w:space="4" w:color="auto"/>
          <w:bottom w:val="single" w:sz="4" w:space="1" w:color="auto"/>
          <w:right w:val="single" w:sz="4" w:space="4" w:color="auto"/>
        </w:pBdr>
        <w:rPr>
          <w:lang w:val="fr-CA"/>
        </w:rPr>
      </w:pPr>
      <w:r>
        <w:rPr>
          <w:lang w:val="fr-CA"/>
        </w:rPr>
        <w:t>Texte de référence proposé</w:t>
      </w:r>
    </w:p>
    <w:p w14:paraId="21FD4F50" w14:textId="77777777" w:rsidR="00794B2F" w:rsidRPr="00794B2F" w:rsidRDefault="00794B2F" w:rsidP="00794B2F">
      <w:pPr>
        <w:jc w:val="both"/>
        <w:rPr>
          <w:lang w:val="fr-CA"/>
        </w:rPr>
      </w:pPr>
      <w:r w:rsidRPr="00794B2F">
        <w:rPr>
          <w:lang w:val="fr-CA"/>
        </w:rPr>
        <w:t>La revue encourage les auteurs à inclure dans tous les articles qui rapportent des résultats dérivés de données de recherche une déclaration d'accessibilité des données. Les déclarations d'accessibilité des données devraient inclure des informations sur l'endroit où les données soutenant les résultats rapportés dans l'article peuvent être trouvées, y compris, le cas échéant, des hyperliens vers des ensembles de données analysés ou générés pendant l'étude et archivés publiquement. Lorsque les données de recherche ne sont pas accessibles au public, cela doit être indiqué dans le manuscrit, accompagné des conditions d'accès aux données. Les déclarations d'accessibilité des données doivent prendre l'une des formes suivantes (ou une combinaison de plusieurs formes si nécessaire pour plusieurs types de données de recherche) :</w:t>
      </w:r>
    </w:p>
    <w:p w14:paraId="23828C4F" w14:textId="77777777" w:rsidR="00794B2F" w:rsidRDefault="00794B2F" w:rsidP="00794B2F">
      <w:pPr>
        <w:ind w:left="720"/>
        <w:jc w:val="both"/>
        <w:rPr>
          <w:lang w:val="fr-CA"/>
        </w:rPr>
      </w:pPr>
      <w:r w:rsidRPr="00794B2F">
        <w:rPr>
          <w:lang w:val="fr-CA"/>
        </w:rPr>
        <w:t>Les ensembles de données générés ou analysés au cours de la présente étude sont accessibles dans le dépôt [NOM], [LIEN WEB PÉRENNE VERS LES ENSEMBLES DE DONNÉES].</w:t>
      </w:r>
    </w:p>
    <w:p w14:paraId="4E8C3B90" w14:textId="77777777" w:rsidR="00794B2F" w:rsidRDefault="00794B2F" w:rsidP="00794B2F">
      <w:pPr>
        <w:ind w:left="720"/>
        <w:jc w:val="both"/>
        <w:rPr>
          <w:lang w:val="fr-CA"/>
        </w:rPr>
      </w:pPr>
    </w:p>
    <w:p w14:paraId="7B2966E2" w14:textId="77777777" w:rsidR="00794B2F" w:rsidRDefault="00794B2F" w:rsidP="00794B2F">
      <w:pPr>
        <w:ind w:left="720"/>
        <w:jc w:val="both"/>
        <w:rPr>
          <w:lang w:val="fr-CA"/>
        </w:rPr>
      </w:pPr>
      <w:r w:rsidRPr="00794B2F">
        <w:rPr>
          <w:lang w:val="fr-CA"/>
        </w:rPr>
        <w:t>Les ensembles de données générés ou analysés au cours de la présente étude ne sont pas accessibles au public en raison de [RAISON POUR LAQUELLE LES DONNÉES NE SONT PAS PUBLIQUES] mais sont disponibles auprès de l'auteur correspondant sur demande raisonnable</w:t>
      </w:r>
    </w:p>
    <w:p w14:paraId="4A89A49F" w14:textId="77777777" w:rsidR="00794B2F" w:rsidRDefault="00794B2F" w:rsidP="00794B2F">
      <w:pPr>
        <w:ind w:left="720"/>
        <w:jc w:val="both"/>
        <w:rPr>
          <w:lang w:val="fr-CA"/>
        </w:rPr>
      </w:pPr>
    </w:p>
    <w:p w14:paraId="371CE50B" w14:textId="77777777" w:rsidR="00794B2F" w:rsidRDefault="00794B2F" w:rsidP="00794B2F">
      <w:pPr>
        <w:ind w:left="720"/>
        <w:jc w:val="both"/>
        <w:rPr>
          <w:lang w:val="fr-CA"/>
        </w:rPr>
      </w:pPr>
      <w:r w:rsidRPr="00794B2F">
        <w:rPr>
          <w:lang w:val="fr-CA"/>
        </w:rPr>
        <w:t>Les ensembles de données générés ou analysés au cours de la présente étude sont disponibles auprès de l'auteur correspondant sur demande raisonnable.</w:t>
      </w:r>
    </w:p>
    <w:p w14:paraId="0BDDD57D" w14:textId="77777777" w:rsidR="00794B2F" w:rsidRDefault="00794B2F" w:rsidP="00794B2F">
      <w:pPr>
        <w:ind w:left="720"/>
        <w:jc w:val="both"/>
        <w:rPr>
          <w:lang w:val="fr-CA"/>
        </w:rPr>
      </w:pPr>
    </w:p>
    <w:p w14:paraId="012E13BD" w14:textId="77777777" w:rsidR="00794B2F" w:rsidRDefault="00794B2F" w:rsidP="00794B2F">
      <w:pPr>
        <w:ind w:left="720"/>
        <w:jc w:val="both"/>
        <w:rPr>
          <w:lang w:val="fr-CA"/>
        </w:rPr>
      </w:pPr>
      <w:r w:rsidRPr="00794B2F">
        <w:rPr>
          <w:lang w:val="fr-CA"/>
        </w:rPr>
        <w:t>Le partage des données ne s'applique pas à cet article car aucun ensemble de données n'a été généré ou analysé au cours de l'étude.</w:t>
      </w:r>
    </w:p>
    <w:p w14:paraId="3058AF23" w14:textId="77777777" w:rsidR="00794B2F" w:rsidRDefault="00794B2F" w:rsidP="00794B2F">
      <w:pPr>
        <w:ind w:left="720"/>
        <w:jc w:val="both"/>
        <w:rPr>
          <w:lang w:val="fr-CA"/>
        </w:rPr>
      </w:pPr>
    </w:p>
    <w:p w14:paraId="5A742B7A" w14:textId="77777777" w:rsidR="00794B2F" w:rsidRDefault="00794B2F" w:rsidP="00794B2F">
      <w:pPr>
        <w:ind w:left="720"/>
        <w:jc w:val="both"/>
        <w:rPr>
          <w:lang w:val="fr-CA"/>
        </w:rPr>
      </w:pPr>
      <w:r w:rsidRPr="00794B2F">
        <w:rPr>
          <w:lang w:val="fr-CA"/>
        </w:rPr>
        <w:lastRenderedPageBreak/>
        <w:t>Toutes les données générées ou analysées au cours de cette étude sont incluses dans cet article publié [et ses fichiers d'informations supplémentaires].</w:t>
      </w:r>
    </w:p>
    <w:p w14:paraId="72A53097" w14:textId="77777777" w:rsidR="00794B2F" w:rsidRDefault="00794B2F" w:rsidP="00794B2F">
      <w:pPr>
        <w:ind w:left="720"/>
        <w:jc w:val="both"/>
        <w:rPr>
          <w:lang w:val="fr-CA"/>
        </w:rPr>
      </w:pPr>
    </w:p>
    <w:p w14:paraId="63B070BD" w14:textId="35B4C2E2" w:rsidR="00794B2F" w:rsidRPr="00794B2F" w:rsidRDefault="00794B2F" w:rsidP="00794B2F">
      <w:pPr>
        <w:ind w:left="720"/>
        <w:jc w:val="both"/>
        <w:rPr>
          <w:lang w:val="fr-CA"/>
        </w:rPr>
      </w:pPr>
      <w:r w:rsidRPr="00794B2F">
        <w:rPr>
          <w:lang w:val="fr-CA"/>
        </w:rPr>
        <w:t>Les données qui étayent les résultats de cette étude sont disponibles auprès de [nom du tiers] mais des restrictions s'appliquent à l'accès à ces données, qui ont été utilisées sous licence pour l'étude actuelle, et ne sont donc pas accessibles au public. Les données sont toutefois disponibles auprès des auteurs sur demande raisonnable et avec l'autorisation de [nom du tiers].</w:t>
      </w:r>
    </w:p>
    <w:p w14:paraId="02E1FE25" w14:textId="77777777" w:rsidR="00794B2F" w:rsidRPr="00794B2F" w:rsidRDefault="00794B2F" w:rsidP="00794B2F">
      <w:pPr>
        <w:jc w:val="both"/>
        <w:rPr>
          <w:lang w:val="fr-CA"/>
        </w:rPr>
      </w:pPr>
      <w:r w:rsidRPr="00794B2F">
        <w:rPr>
          <w:lang w:val="fr-CA"/>
        </w:rPr>
        <w:t xml:space="preserve"> </w:t>
      </w:r>
    </w:p>
    <w:p w14:paraId="23947FDE" w14:textId="32DF921B" w:rsidR="00794B2F" w:rsidRDefault="00794B2F" w:rsidP="00794B2F">
      <w:pPr>
        <w:jc w:val="both"/>
        <w:rPr>
          <w:lang w:val="fr-CA"/>
        </w:rPr>
      </w:pPr>
      <w:r w:rsidRPr="00794B2F">
        <w:rPr>
          <w:lang w:val="fr-CA"/>
        </w:rPr>
        <w:t>D'autres exemples de modèles de déclarations d'accessibilité des données comprenant des exemples d'ensembles de données à accès libre et à accès restreint, sont disponibles à l'adresse suivante : &lt;</w:t>
      </w:r>
      <w:proofErr w:type="spellStart"/>
      <w:r w:rsidRPr="00794B2F">
        <w:rPr>
          <w:lang w:val="fr-CA"/>
        </w:rPr>
        <w:t>link</w:t>
      </w:r>
      <w:proofErr w:type="spellEnd"/>
      <w:r w:rsidRPr="00794B2F">
        <w:rPr>
          <w:lang w:val="fr-CA"/>
        </w:rPr>
        <w:t>&gt;.</w:t>
      </w:r>
    </w:p>
    <w:p w14:paraId="20C7029A" w14:textId="4645FE8D" w:rsidR="00794B2F" w:rsidRDefault="00794B2F" w:rsidP="00794B2F">
      <w:pPr>
        <w:pBdr>
          <w:bottom w:val="single" w:sz="4" w:space="1" w:color="auto"/>
        </w:pBdr>
        <w:rPr>
          <w:lang w:val="fr-CA"/>
        </w:rPr>
      </w:pPr>
    </w:p>
    <w:p w14:paraId="06433E12" w14:textId="704404C6" w:rsidR="00D47943" w:rsidRDefault="00D47943">
      <w:pPr>
        <w:rPr>
          <w:lang w:val="fr-CA"/>
        </w:rPr>
      </w:pPr>
      <w:r>
        <w:rPr>
          <w:lang w:val="fr-CA"/>
        </w:rPr>
        <w:br w:type="page"/>
      </w:r>
    </w:p>
    <w:p w14:paraId="7C781650" w14:textId="77777777" w:rsidR="00794B2F" w:rsidRDefault="00794B2F" w:rsidP="005146B7">
      <w:pPr>
        <w:rPr>
          <w:lang w:val="fr-CA"/>
        </w:rPr>
      </w:pPr>
    </w:p>
    <w:p w14:paraId="02D7C592" w14:textId="1259CF29" w:rsidR="004D59B3" w:rsidRPr="00D47943" w:rsidRDefault="004D59B3" w:rsidP="00D47943">
      <w:pPr>
        <w:shd w:val="clear" w:color="auto" w:fill="000000" w:themeFill="text1"/>
        <w:rPr>
          <w:b/>
          <w:bCs/>
          <w:color w:val="FFFFFF" w:themeColor="background1"/>
          <w:lang w:val="fr-CA"/>
        </w:rPr>
      </w:pPr>
      <w:r w:rsidRPr="00D47943">
        <w:rPr>
          <w:b/>
          <w:bCs/>
          <w:color w:val="FFFFFF" w:themeColor="background1"/>
          <w:lang w:val="fr-CA"/>
        </w:rPr>
        <w:t>GROUPES DE POLITIQUES AVEC OBLIGATION DE PARTAGE DE DONNÉES</w:t>
      </w:r>
    </w:p>
    <w:p w14:paraId="2AC311BC" w14:textId="1A7B8804" w:rsidR="004D59B3" w:rsidRPr="00D47943" w:rsidRDefault="004D59B3" w:rsidP="00D47943">
      <w:pPr>
        <w:shd w:val="clear" w:color="auto" w:fill="000000" w:themeFill="text1"/>
        <w:jc w:val="center"/>
        <w:rPr>
          <w:b/>
          <w:bCs/>
          <w:color w:val="FFFFFF" w:themeColor="background1"/>
          <w:lang w:val="fr-CA"/>
        </w:rPr>
      </w:pPr>
      <w:r w:rsidRPr="00D47943">
        <w:rPr>
          <w:b/>
          <w:bCs/>
          <w:color w:val="FFFFFF" w:themeColor="background1"/>
          <w:lang w:val="fr-CA"/>
        </w:rPr>
        <w:t>(politiques de type 4 à 6)</w:t>
      </w:r>
    </w:p>
    <w:p w14:paraId="46CC0E47" w14:textId="60E86946" w:rsidR="00794B2F" w:rsidRDefault="00794B2F" w:rsidP="00D14EB5">
      <w:pPr>
        <w:rPr>
          <w:lang w:val="fr-CA"/>
        </w:rPr>
      </w:pPr>
    </w:p>
    <w:p w14:paraId="52D315E3" w14:textId="0BEBB90E" w:rsidR="00356A79" w:rsidRDefault="002A478F" w:rsidP="00356A79">
      <w:pPr>
        <w:rPr>
          <w:b/>
          <w:bCs/>
          <w:lang w:val="fr-CA"/>
        </w:rPr>
      </w:pPr>
      <w:r>
        <w:rPr>
          <w:b/>
          <w:bCs/>
          <w:lang w:val="fr-CA"/>
        </w:rPr>
        <w:t xml:space="preserve">Tableau 2 </w:t>
      </w:r>
      <w:r w:rsidR="00356A79">
        <w:rPr>
          <w:b/>
          <w:bCs/>
          <w:lang w:val="fr-CA"/>
        </w:rPr>
        <w:t>Survol de</w:t>
      </w:r>
      <w:r w:rsidR="00F20E33">
        <w:rPr>
          <w:b/>
          <w:bCs/>
          <w:lang w:val="fr-CA"/>
        </w:rPr>
        <w:t xml:space="preserve">s </w:t>
      </w:r>
      <w:r w:rsidR="00356A79">
        <w:rPr>
          <w:b/>
          <w:bCs/>
          <w:lang w:val="fr-CA"/>
        </w:rPr>
        <w:t>politiques</w:t>
      </w:r>
      <w:r w:rsidR="00F20E33">
        <w:rPr>
          <w:b/>
          <w:bCs/>
          <w:lang w:val="fr-CA"/>
        </w:rPr>
        <w:t xml:space="preserve"> de types 4, 5 et 6</w:t>
      </w:r>
    </w:p>
    <w:p w14:paraId="4F1B7E11" w14:textId="6CC031A2" w:rsidR="00356A79" w:rsidRDefault="00356A79" w:rsidP="00D14EB5">
      <w:pPr>
        <w:rPr>
          <w:lang w:val="fr-CA"/>
        </w:rPr>
      </w:pPr>
    </w:p>
    <w:tbl>
      <w:tblPr>
        <w:tblStyle w:val="Grilledutableau"/>
        <w:tblW w:w="0" w:type="auto"/>
        <w:tblLook w:val="04A0" w:firstRow="1" w:lastRow="0" w:firstColumn="1" w:lastColumn="0" w:noHBand="0" w:noVBand="1"/>
      </w:tblPr>
      <w:tblGrid>
        <w:gridCol w:w="2337"/>
        <w:gridCol w:w="2337"/>
        <w:gridCol w:w="2338"/>
        <w:gridCol w:w="2338"/>
      </w:tblGrid>
      <w:tr w:rsidR="00356A79" w14:paraId="6FAC8A4B" w14:textId="77777777" w:rsidTr="00F20E33">
        <w:tc>
          <w:tcPr>
            <w:tcW w:w="2337" w:type="dxa"/>
            <w:tcBorders>
              <w:top w:val="nil"/>
              <w:left w:val="nil"/>
              <w:bottom w:val="nil"/>
            </w:tcBorders>
          </w:tcPr>
          <w:p w14:paraId="70A36E57" w14:textId="77777777" w:rsidR="00356A79" w:rsidRDefault="00356A79" w:rsidP="00D14EB5">
            <w:pPr>
              <w:rPr>
                <w:lang w:val="fr-CA"/>
              </w:rPr>
            </w:pPr>
          </w:p>
        </w:tc>
        <w:tc>
          <w:tcPr>
            <w:tcW w:w="2337" w:type="dxa"/>
            <w:shd w:val="clear" w:color="auto" w:fill="BFBFBF" w:themeFill="background1" w:themeFillShade="BF"/>
          </w:tcPr>
          <w:p w14:paraId="48CD0294" w14:textId="10B10354" w:rsidR="00356A79" w:rsidRPr="00F20E33" w:rsidRDefault="00356A79" w:rsidP="00D14EB5">
            <w:pPr>
              <w:rPr>
                <w:b/>
                <w:bCs/>
                <w:lang w:val="fr-CA"/>
              </w:rPr>
            </w:pPr>
            <w:r w:rsidRPr="00F20E33">
              <w:rPr>
                <w:b/>
                <w:bCs/>
                <w:lang w:val="fr-CA"/>
              </w:rPr>
              <w:t>Politique 4</w:t>
            </w:r>
          </w:p>
        </w:tc>
        <w:tc>
          <w:tcPr>
            <w:tcW w:w="2338" w:type="dxa"/>
            <w:shd w:val="clear" w:color="auto" w:fill="BFBFBF" w:themeFill="background1" w:themeFillShade="BF"/>
          </w:tcPr>
          <w:p w14:paraId="7BE8D515" w14:textId="24D6273C" w:rsidR="00356A79" w:rsidRPr="00F20E33" w:rsidRDefault="00356A79" w:rsidP="00D14EB5">
            <w:pPr>
              <w:rPr>
                <w:b/>
                <w:bCs/>
                <w:lang w:val="fr-CA"/>
              </w:rPr>
            </w:pPr>
            <w:r w:rsidRPr="00F20E33">
              <w:rPr>
                <w:b/>
                <w:bCs/>
                <w:lang w:val="fr-CA"/>
              </w:rPr>
              <w:t>Politique 5</w:t>
            </w:r>
          </w:p>
        </w:tc>
        <w:tc>
          <w:tcPr>
            <w:tcW w:w="2338" w:type="dxa"/>
            <w:shd w:val="clear" w:color="auto" w:fill="BFBFBF" w:themeFill="background1" w:themeFillShade="BF"/>
          </w:tcPr>
          <w:p w14:paraId="2E43875B" w14:textId="171759F3" w:rsidR="00356A79" w:rsidRPr="00F20E33" w:rsidRDefault="00356A79" w:rsidP="00D14EB5">
            <w:pPr>
              <w:rPr>
                <w:b/>
                <w:bCs/>
                <w:lang w:val="fr-CA"/>
              </w:rPr>
            </w:pPr>
            <w:r w:rsidRPr="00F20E33">
              <w:rPr>
                <w:b/>
                <w:bCs/>
                <w:lang w:val="fr-CA"/>
              </w:rPr>
              <w:t>Politique 6</w:t>
            </w:r>
          </w:p>
        </w:tc>
      </w:tr>
      <w:tr w:rsidR="00356A79" w:rsidRPr="00E11F8E" w14:paraId="4B97AA59" w14:textId="77777777" w:rsidTr="00F20E33">
        <w:tc>
          <w:tcPr>
            <w:tcW w:w="2337" w:type="dxa"/>
            <w:tcBorders>
              <w:top w:val="nil"/>
              <w:left w:val="nil"/>
            </w:tcBorders>
          </w:tcPr>
          <w:p w14:paraId="49425016" w14:textId="77777777" w:rsidR="00356A79" w:rsidRDefault="00356A79" w:rsidP="00D14EB5">
            <w:pPr>
              <w:rPr>
                <w:lang w:val="fr-CA"/>
              </w:rPr>
            </w:pPr>
          </w:p>
        </w:tc>
        <w:tc>
          <w:tcPr>
            <w:tcW w:w="2337" w:type="dxa"/>
            <w:vAlign w:val="center"/>
          </w:tcPr>
          <w:p w14:paraId="10074B1D" w14:textId="03760E9C" w:rsidR="00356A79" w:rsidRPr="00356A79" w:rsidRDefault="00356A79" w:rsidP="00356A79">
            <w:pPr>
              <w:rPr>
                <w:sz w:val="20"/>
                <w:szCs w:val="20"/>
                <w:lang w:val="fr-CA"/>
              </w:rPr>
            </w:pPr>
            <w:r w:rsidRPr="00BC26F4">
              <w:rPr>
                <w:sz w:val="20"/>
                <w:szCs w:val="20"/>
                <w:lang w:val="fr-CA"/>
              </w:rPr>
              <w:t>En publiant dans la revue, les auteurs sont tenus de mettre les données de recherche à la disposition des éditeurs et des réviseurs, ainsi que des lecteurs sur demande. Pour certaines données de recherche, le dépôt dans des dépôts est requis et ceci est encouragé pour toutes les données de recherche. Pour certains articles, la décision de publier sera influencée par le fait que les auteurs partagent ou non leurs données de recherche.</w:t>
            </w:r>
          </w:p>
        </w:tc>
        <w:tc>
          <w:tcPr>
            <w:tcW w:w="2338" w:type="dxa"/>
            <w:vAlign w:val="center"/>
          </w:tcPr>
          <w:p w14:paraId="02D95954" w14:textId="3640F5A2" w:rsidR="00356A79" w:rsidRPr="00133B05" w:rsidRDefault="00133B05" w:rsidP="00356A79">
            <w:pPr>
              <w:rPr>
                <w:sz w:val="20"/>
                <w:szCs w:val="20"/>
                <w:lang w:val="fr-CA"/>
              </w:rPr>
            </w:pPr>
            <w:r w:rsidRPr="0002179A">
              <w:rPr>
                <w:sz w:val="20"/>
                <w:szCs w:val="20"/>
                <w:lang w:val="fr-CA"/>
              </w:rPr>
              <w:t>En publiant dans la revue, les auteurs sont tenus de mettre les données de recherche à la disposition des éditeurs et des réviseurs, ainsi que des lecteurs. Pour toutes les recherches, le dépôt des données dans des dépôts est requis. Pour tous les articles, la décision de publier sera affectée par le fait que les auteurs partagent ou non leurs données de recherche.</w:t>
            </w:r>
          </w:p>
        </w:tc>
        <w:tc>
          <w:tcPr>
            <w:tcW w:w="2338" w:type="dxa"/>
            <w:vAlign w:val="center"/>
          </w:tcPr>
          <w:p w14:paraId="67448B0F" w14:textId="3C9C47D1" w:rsidR="00356A79" w:rsidRPr="00287B60" w:rsidRDefault="00287B60" w:rsidP="00356A79">
            <w:pPr>
              <w:rPr>
                <w:sz w:val="20"/>
                <w:szCs w:val="20"/>
                <w:lang w:val="fr-CA"/>
              </w:rPr>
            </w:pPr>
            <w:r w:rsidRPr="00B85A11">
              <w:rPr>
                <w:sz w:val="20"/>
                <w:szCs w:val="20"/>
                <w:lang w:val="fr-CA"/>
              </w:rPr>
              <w:t>La revue exigera le partage des données pour tous les types de données de recherche ainsi que leur examen par les pairs. La revue veillera à ce que sa politique de partage des données soit respectée et, pour tous les articles, la décision de publier sera affectée par le fait que les auteurs partagent ou non leurs données de recherche.</w:t>
            </w:r>
          </w:p>
        </w:tc>
      </w:tr>
      <w:tr w:rsidR="00356A79" w14:paraId="13FD9A9E" w14:textId="77777777" w:rsidTr="00F20E33">
        <w:tc>
          <w:tcPr>
            <w:tcW w:w="2337" w:type="dxa"/>
          </w:tcPr>
          <w:p w14:paraId="146EF865" w14:textId="228ED81A" w:rsidR="00356A79" w:rsidRDefault="00356A79" w:rsidP="00D14EB5">
            <w:pPr>
              <w:rPr>
                <w:lang w:val="fr-CA"/>
              </w:rPr>
            </w:pPr>
            <w:r w:rsidRPr="00D14EB5">
              <w:rPr>
                <w:b/>
                <w:bCs/>
                <w:lang w:val="fr-CA"/>
              </w:rPr>
              <w:t>Déclarations d'accessibilité des données</w:t>
            </w:r>
          </w:p>
        </w:tc>
        <w:tc>
          <w:tcPr>
            <w:tcW w:w="2337" w:type="dxa"/>
            <w:shd w:val="clear" w:color="auto" w:fill="C00000"/>
            <w:vAlign w:val="center"/>
          </w:tcPr>
          <w:p w14:paraId="003BE8ED" w14:textId="35366CD5" w:rsidR="00356A79" w:rsidRPr="00F20E33" w:rsidRDefault="00356A79" w:rsidP="00356A79">
            <w:pPr>
              <w:jc w:val="center"/>
              <w:rPr>
                <w:color w:val="000000" w:themeColor="text1"/>
                <w:lang w:val="fr-CA"/>
              </w:rPr>
            </w:pPr>
            <w:r w:rsidRPr="00F20E33">
              <w:rPr>
                <w:color w:val="000000" w:themeColor="text1"/>
                <w:lang w:val="fr-CA"/>
              </w:rPr>
              <w:t>OBLIGATOIRE</w:t>
            </w:r>
          </w:p>
        </w:tc>
        <w:tc>
          <w:tcPr>
            <w:tcW w:w="2338" w:type="dxa"/>
            <w:shd w:val="clear" w:color="auto" w:fill="C00000"/>
            <w:vAlign w:val="center"/>
          </w:tcPr>
          <w:p w14:paraId="15638259" w14:textId="2DDD5D90" w:rsidR="00356A79" w:rsidRPr="00F20E33" w:rsidRDefault="00356A79" w:rsidP="00356A79">
            <w:pPr>
              <w:jc w:val="center"/>
              <w:rPr>
                <w:color w:val="000000" w:themeColor="text1"/>
                <w:lang w:val="fr-CA"/>
              </w:rPr>
            </w:pPr>
            <w:r w:rsidRPr="00F20E33">
              <w:rPr>
                <w:color w:val="000000" w:themeColor="text1"/>
                <w:lang w:val="fr-CA"/>
              </w:rPr>
              <w:t>OBLIGATOIRE</w:t>
            </w:r>
          </w:p>
        </w:tc>
        <w:tc>
          <w:tcPr>
            <w:tcW w:w="2338" w:type="dxa"/>
            <w:shd w:val="clear" w:color="auto" w:fill="C00000"/>
            <w:vAlign w:val="center"/>
          </w:tcPr>
          <w:p w14:paraId="258C574B" w14:textId="205B20C0" w:rsidR="00356A79" w:rsidRPr="00F20E33" w:rsidRDefault="00356A79" w:rsidP="00356A79">
            <w:pPr>
              <w:jc w:val="center"/>
              <w:rPr>
                <w:color w:val="000000" w:themeColor="text1"/>
                <w:lang w:val="fr-CA"/>
              </w:rPr>
            </w:pPr>
            <w:r w:rsidRPr="00F20E33">
              <w:rPr>
                <w:color w:val="000000" w:themeColor="text1"/>
                <w:lang w:val="fr-CA"/>
              </w:rPr>
              <w:t>OBLIGATOIRE</w:t>
            </w:r>
          </w:p>
        </w:tc>
      </w:tr>
      <w:tr w:rsidR="00356A79" w14:paraId="3CEF4B12" w14:textId="77777777" w:rsidTr="00F20E33">
        <w:tc>
          <w:tcPr>
            <w:tcW w:w="2337" w:type="dxa"/>
          </w:tcPr>
          <w:p w14:paraId="03215833" w14:textId="24BDDC96" w:rsidR="00356A79" w:rsidRDefault="00356A79" w:rsidP="00D14EB5">
            <w:pPr>
              <w:rPr>
                <w:lang w:val="fr-CA"/>
              </w:rPr>
            </w:pPr>
            <w:r w:rsidRPr="00D14EB5">
              <w:rPr>
                <w:b/>
                <w:bCs/>
                <w:lang w:val="fr-CA"/>
              </w:rPr>
              <w:t>Citation des données</w:t>
            </w:r>
          </w:p>
        </w:tc>
        <w:tc>
          <w:tcPr>
            <w:tcW w:w="2337" w:type="dxa"/>
            <w:shd w:val="clear" w:color="auto" w:fill="92D050"/>
            <w:vAlign w:val="center"/>
          </w:tcPr>
          <w:p w14:paraId="314143DE" w14:textId="6AA2410D" w:rsidR="00356A79" w:rsidRDefault="00356A79" w:rsidP="00356A79">
            <w:pPr>
              <w:jc w:val="center"/>
              <w:rPr>
                <w:lang w:val="fr-CA"/>
              </w:rPr>
            </w:pPr>
            <w:r>
              <w:rPr>
                <w:lang w:val="fr-CA"/>
              </w:rPr>
              <w:t>FACULTATIF</w:t>
            </w:r>
          </w:p>
        </w:tc>
        <w:tc>
          <w:tcPr>
            <w:tcW w:w="2338" w:type="dxa"/>
            <w:shd w:val="clear" w:color="auto" w:fill="C00000"/>
            <w:vAlign w:val="center"/>
          </w:tcPr>
          <w:p w14:paraId="2FD55CFD" w14:textId="4F26646F" w:rsidR="00356A79" w:rsidRPr="00F20E33" w:rsidRDefault="00133B05" w:rsidP="00356A79">
            <w:pPr>
              <w:jc w:val="center"/>
              <w:rPr>
                <w:color w:val="000000" w:themeColor="text1"/>
                <w:lang w:val="fr-CA"/>
              </w:rPr>
            </w:pPr>
            <w:r w:rsidRPr="00F20E33">
              <w:rPr>
                <w:color w:val="000000" w:themeColor="text1"/>
                <w:lang w:val="fr-CA"/>
              </w:rPr>
              <w:t>OBLIGATOIRE</w:t>
            </w:r>
          </w:p>
        </w:tc>
        <w:tc>
          <w:tcPr>
            <w:tcW w:w="2338" w:type="dxa"/>
            <w:shd w:val="clear" w:color="auto" w:fill="C00000"/>
            <w:vAlign w:val="center"/>
          </w:tcPr>
          <w:p w14:paraId="275D2F60" w14:textId="78DECD10" w:rsidR="00356A79" w:rsidRPr="00F20E33" w:rsidRDefault="00287B60" w:rsidP="00356A79">
            <w:pPr>
              <w:jc w:val="center"/>
              <w:rPr>
                <w:color w:val="000000" w:themeColor="text1"/>
                <w:lang w:val="fr-CA"/>
              </w:rPr>
            </w:pPr>
            <w:r w:rsidRPr="00F20E33">
              <w:rPr>
                <w:color w:val="000000" w:themeColor="text1"/>
                <w:lang w:val="fr-CA"/>
              </w:rPr>
              <w:t>OBLIGATOIRE</w:t>
            </w:r>
          </w:p>
        </w:tc>
      </w:tr>
      <w:tr w:rsidR="00356A79" w14:paraId="2210F14D" w14:textId="77777777" w:rsidTr="00F20E33">
        <w:tc>
          <w:tcPr>
            <w:tcW w:w="2337" w:type="dxa"/>
          </w:tcPr>
          <w:p w14:paraId="431FB92C" w14:textId="4D5B1798" w:rsidR="00356A79" w:rsidRDefault="00356A79" w:rsidP="00D14EB5">
            <w:pPr>
              <w:rPr>
                <w:lang w:val="fr-CA"/>
              </w:rPr>
            </w:pPr>
            <w:r w:rsidRPr="00D14EB5">
              <w:rPr>
                <w:b/>
                <w:bCs/>
                <w:lang w:val="fr-CA"/>
              </w:rPr>
              <w:t>Partage des données dans un dépôt</w:t>
            </w:r>
          </w:p>
        </w:tc>
        <w:tc>
          <w:tcPr>
            <w:tcW w:w="2337" w:type="dxa"/>
            <w:shd w:val="clear" w:color="auto" w:fill="FF1515"/>
            <w:vAlign w:val="center"/>
          </w:tcPr>
          <w:p w14:paraId="330F9956" w14:textId="2F566F6C" w:rsidR="00356A79" w:rsidRDefault="00356A79" w:rsidP="00356A79">
            <w:pPr>
              <w:jc w:val="center"/>
              <w:rPr>
                <w:lang w:val="fr-CA"/>
              </w:rPr>
            </w:pPr>
            <w:r>
              <w:rPr>
                <w:lang w:val="fr-CA"/>
              </w:rPr>
              <w:t>OBLIGATOIRE (CERTAINS CAS)</w:t>
            </w:r>
          </w:p>
        </w:tc>
        <w:tc>
          <w:tcPr>
            <w:tcW w:w="2338" w:type="dxa"/>
            <w:shd w:val="clear" w:color="auto" w:fill="C00000"/>
            <w:vAlign w:val="center"/>
          </w:tcPr>
          <w:p w14:paraId="787A559A" w14:textId="0EE7E00D" w:rsidR="00356A79" w:rsidRPr="00F20E33" w:rsidRDefault="00133B05" w:rsidP="00356A79">
            <w:pPr>
              <w:jc w:val="center"/>
              <w:rPr>
                <w:color w:val="000000" w:themeColor="text1"/>
                <w:lang w:val="fr-CA"/>
              </w:rPr>
            </w:pPr>
            <w:r w:rsidRPr="00F20E33">
              <w:rPr>
                <w:color w:val="000000" w:themeColor="text1"/>
                <w:lang w:val="fr-CA"/>
              </w:rPr>
              <w:t>OBLIGATOIRE</w:t>
            </w:r>
          </w:p>
        </w:tc>
        <w:tc>
          <w:tcPr>
            <w:tcW w:w="2338" w:type="dxa"/>
            <w:shd w:val="clear" w:color="auto" w:fill="C00000"/>
            <w:vAlign w:val="center"/>
          </w:tcPr>
          <w:p w14:paraId="0832DB3A" w14:textId="166DCB3D" w:rsidR="00356A79" w:rsidRPr="00F20E33" w:rsidRDefault="00287B60" w:rsidP="00356A79">
            <w:pPr>
              <w:jc w:val="center"/>
              <w:rPr>
                <w:color w:val="000000" w:themeColor="text1"/>
                <w:lang w:val="fr-CA"/>
              </w:rPr>
            </w:pPr>
            <w:r w:rsidRPr="00F20E33">
              <w:rPr>
                <w:color w:val="000000" w:themeColor="text1"/>
                <w:lang w:val="fr-CA"/>
              </w:rPr>
              <w:t>OBLIGATOIRE</w:t>
            </w:r>
          </w:p>
        </w:tc>
      </w:tr>
      <w:tr w:rsidR="00356A79" w14:paraId="16B80F8A" w14:textId="77777777" w:rsidTr="00F20E33">
        <w:tc>
          <w:tcPr>
            <w:tcW w:w="2337" w:type="dxa"/>
          </w:tcPr>
          <w:p w14:paraId="0ACC5B2C" w14:textId="65F13D90" w:rsidR="00356A79" w:rsidRPr="00D14EB5" w:rsidRDefault="00356A79" w:rsidP="00D14EB5">
            <w:pPr>
              <w:rPr>
                <w:b/>
                <w:bCs/>
                <w:lang w:val="fr-CA"/>
              </w:rPr>
            </w:pPr>
            <w:r w:rsidRPr="00D14EB5">
              <w:rPr>
                <w:b/>
                <w:bCs/>
                <w:lang w:val="fr-CA"/>
              </w:rPr>
              <w:t>Partage des données</w:t>
            </w:r>
            <w:r>
              <w:rPr>
                <w:b/>
                <w:bCs/>
                <w:lang w:val="fr-CA"/>
              </w:rPr>
              <w:t xml:space="preserve"> sur demande</w:t>
            </w:r>
          </w:p>
        </w:tc>
        <w:tc>
          <w:tcPr>
            <w:tcW w:w="2337" w:type="dxa"/>
            <w:shd w:val="clear" w:color="auto" w:fill="C00000"/>
            <w:vAlign w:val="center"/>
          </w:tcPr>
          <w:p w14:paraId="5CD26626" w14:textId="18CCCDF5" w:rsidR="00356A79" w:rsidRPr="00F20E33" w:rsidRDefault="00356A79" w:rsidP="00356A79">
            <w:pPr>
              <w:jc w:val="center"/>
              <w:rPr>
                <w:color w:val="000000" w:themeColor="text1"/>
                <w:lang w:val="fr-CA"/>
              </w:rPr>
            </w:pPr>
            <w:r w:rsidRPr="00F20E33">
              <w:rPr>
                <w:color w:val="000000" w:themeColor="text1"/>
                <w:lang w:val="fr-CA"/>
              </w:rPr>
              <w:t>OBLIGATOIRE</w:t>
            </w:r>
          </w:p>
        </w:tc>
        <w:tc>
          <w:tcPr>
            <w:tcW w:w="2338" w:type="dxa"/>
            <w:shd w:val="clear" w:color="auto" w:fill="C00000"/>
            <w:vAlign w:val="center"/>
          </w:tcPr>
          <w:p w14:paraId="0EA59E5E" w14:textId="708B1183" w:rsidR="00356A79" w:rsidRPr="00F20E33" w:rsidRDefault="00133B05" w:rsidP="00356A79">
            <w:pPr>
              <w:jc w:val="center"/>
              <w:rPr>
                <w:color w:val="000000" w:themeColor="text1"/>
                <w:lang w:val="fr-CA"/>
              </w:rPr>
            </w:pPr>
            <w:r w:rsidRPr="00F20E33">
              <w:rPr>
                <w:color w:val="000000" w:themeColor="text1"/>
                <w:lang w:val="fr-CA"/>
              </w:rPr>
              <w:t>OBLIGATOIRE</w:t>
            </w:r>
          </w:p>
        </w:tc>
        <w:tc>
          <w:tcPr>
            <w:tcW w:w="2338" w:type="dxa"/>
            <w:shd w:val="clear" w:color="auto" w:fill="C00000"/>
            <w:vAlign w:val="center"/>
          </w:tcPr>
          <w:p w14:paraId="02B93878" w14:textId="0D1A9058" w:rsidR="00356A79" w:rsidRPr="00F20E33" w:rsidRDefault="00287B60" w:rsidP="00356A79">
            <w:pPr>
              <w:jc w:val="center"/>
              <w:rPr>
                <w:color w:val="000000" w:themeColor="text1"/>
                <w:lang w:val="fr-CA"/>
              </w:rPr>
            </w:pPr>
            <w:r w:rsidRPr="00F20E33">
              <w:rPr>
                <w:color w:val="000000" w:themeColor="text1"/>
                <w:lang w:val="fr-CA"/>
              </w:rPr>
              <w:t>OBLIGATOIRE</w:t>
            </w:r>
          </w:p>
        </w:tc>
      </w:tr>
      <w:tr w:rsidR="00356A79" w14:paraId="214AD620" w14:textId="77777777" w:rsidTr="00F20E33">
        <w:tc>
          <w:tcPr>
            <w:tcW w:w="2337" w:type="dxa"/>
          </w:tcPr>
          <w:p w14:paraId="0744410F" w14:textId="34C6B576" w:rsidR="00356A79" w:rsidRPr="00D14EB5" w:rsidRDefault="00356A79" w:rsidP="00D14EB5">
            <w:pPr>
              <w:rPr>
                <w:b/>
                <w:bCs/>
                <w:lang w:val="fr-CA"/>
              </w:rPr>
            </w:pPr>
            <w:r>
              <w:rPr>
                <w:b/>
                <w:bCs/>
                <w:lang w:val="fr-CA"/>
              </w:rPr>
              <w:t>Partage du PGD</w:t>
            </w:r>
          </w:p>
        </w:tc>
        <w:tc>
          <w:tcPr>
            <w:tcW w:w="2337" w:type="dxa"/>
            <w:shd w:val="clear" w:color="auto" w:fill="92D050"/>
            <w:vAlign w:val="center"/>
          </w:tcPr>
          <w:p w14:paraId="6080A2BB" w14:textId="28EAC71E" w:rsidR="00356A79" w:rsidRDefault="00356A79" w:rsidP="00356A79">
            <w:pPr>
              <w:jc w:val="center"/>
              <w:rPr>
                <w:lang w:val="fr-CA"/>
              </w:rPr>
            </w:pPr>
            <w:r>
              <w:rPr>
                <w:lang w:val="fr-CA"/>
              </w:rPr>
              <w:t>FACULTATIF</w:t>
            </w:r>
          </w:p>
        </w:tc>
        <w:tc>
          <w:tcPr>
            <w:tcW w:w="2338" w:type="dxa"/>
            <w:shd w:val="clear" w:color="auto" w:fill="92D050"/>
            <w:vAlign w:val="center"/>
          </w:tcPr>
          <w:p w14:paraId="41EFC84F" w14:textId="17CB6116" w:rsidR="00356A79" w:rsidRDefault="00133B05" w:rsidP="00356A79">
            <w:pPr>
              <w:jc w:val="center"/>
              <w:rPr>
                <w:lang w:val="fr-CA"/>
              </w:rPr>
            </w:pPr>
            <w:r>
              <w:rPr>
                <w:lang w:val="fr-CA"/>
              </w:rPr>
              <w:t>FACULTATIF</w:t>
            </w:r>
          </w:p>
        </w:tc>
        <w:tc>
          <w:tcPr>
            <w:tcW w:w="2338" w:type="dxa"/>
            <w:shd w:val="clear" w:color="auto" w:fill="92D050"/>
            <w:vAlign w:val="center"/>
          </w:tcPr>
          <w:p w14:paraId="26E45984" w14:textId="14B033C1" w:rsidR="00356A79" w:rsidRDefault="00287B60" w:rsidP="00356A79">
            <w:pPr>
              <w:jc w:val="center"/>
              <w:rPr>
                <w:lang w:val="fr-CA"/>
              </w:rPr>
            </w:pPr>
            <w:r>
              <w:rPr>
                <w:lang w:val="fr-CA"/>
              </w:rPr>
              <w:t>FACULTATIF</w:t>
            </w:r>
          </w:p>
        </w:tc>
      </w:tr>
      <w:tr w:rsidR="00133B05" w14:paraId="296AB579" w14:textId="77777777" w:rsidTr="00F20E33">
        <w:tc>
          <w:tcPr>
            <w:tcW w:w="2337" w:type="dxa"/>
          </w:tcPr>
          <w:p w14:paraId="70446062" w14:textId="3B6B9F98" w:rsidR="00133B05" w:rsidRDefault="00133B05" w:rsidP="00D14EB5">
            <w:pPr>
              <w:rPr>
                <w:b/>
                <w:bCs/>
                <w:lang w:val="fr-CA"/>
              </w:rPr>
            </w:pPr>
            <w:r>
              <w:rPr>
                <w:b/>
                <w:bCs/>
                <w:lang w:val="fr-CA"/>
              </w:rPr>
              <w:t>Révision par les pairs des données</w:t>
            </w:r>
          </w:p>
        </w:tc>
        <w:tc>
          <w:tcPr>
            <w:tcW w:w="2337" w:type="dxa"/>
            <w:shd w:val="clear" w:color="auto" w:fill="92D050"/>
            <w:vAlign w:val="center"/>
          </w:tcPr>
          <w:p w14:paraId="0A327E6D" w14:textId="76827662" w:rsidR="00133B05" w:rsidRDefault="00133B05" w:rsidP="00356A79">
            <w:pPr>
              <w:jc w:val="center"/>
              <w:rPr>
                <w:lang w:val="fr-CA"/>
              </w:rPr>
            </w:pPr>
            <w:r>
              <w:rPr>
                <w:lang w:val="fr-CA"/>
              </w:rPr>
              <w:t>FACULTATIF</w:t>
            </w:r>
          </w:p>
        </w:tc>
        <w:tc>
          <w:tcPr>
            <w:tcW w:w="2338" w:type="dxa"/>
            <w:shd w:val="clear" w:color="auto" w:fill="92D050"/>
            <w:vAlign w:val="center"/>
          </w:tcPr>
          <w:p w14:paraId="4E28C196" w14:textId="705855F1" w:rsidR="00133B05" w:rsidRDefault="00133B05" w:rsidP="00356A79">
            <w:pPr>
              <w:jc w:val="center"/>
              <w:rPr>
                <w:lang w:val="fr-CA"/>
              </w:rPr>
            </w:pPr>
            <w:r>
              <w:rPr>
                <w:lang w:val="fr-CA"/>
              </w:rPr>
              <w:t>FACULTATIF</w:t>
            </w:r>
          </w:p>
        </w:tc>
        <w:tc>
          <w:tcPr>
            <w:tcW w:w="2338" w:type="dxa"/>
            <w:shd w:val="clear" w:color="auto" w:fill="C00000"/>
            <w:vAlign w:val="center"/>
          </w:tcPr>
          <w:p w14:paraId="0C9774DB" w14:textId="51B02130" w:rsidR="00133B05" w:rsidRDefault="00287B60" w:rsidP="00356A79">
            <w:pPr>
              <w:jc w:val="center"/>
              <w:rPr>
                <w:lang w:val="fr-CA"/>
              </w:rPr>
            </w:pPr>
            <w:r w:rsidRPr="00F20E33">
              <w:rPr>
                <w:color w:val="000000" w:themeColor="text1"/>
                <w:lang w:val="fr-CA"/>
              </w:rPr>
              <w:t>OBLIGATOIRE</w:t>
            </w:r>
          </w:p>
        </w:tc>
      </w:tr>
      <w:tr w:rsidR="00356A79" w14:paraId="615AD04F" w14:textId="77777777" w:rsidTr="00F20E33">
        <w:tc>
          <w:tcPr>
            <w:tcW w:w="2337" w:type="dxa"/>
          </w:tcPr>
          <w:p w14:paraId="7F05D768" w14:textId="6F779589" w:rsidR="00356A79" w:rsidRDefault="00356A79" w:rsidP="00D14EB5">
            <w:pPr>
              <w:rPr>
                <w:lang w:val="fr-CA"/>
              </w:rPr>
            </w:pPr>
            <w:r w:rsidRPr="00D14EB5">
              <w:rPr>
                <w:b/>
                <w:bCs/>
                <w:lang w:val="fr-CA"/>
              </w:rPr>
              <w:t>Répondre aux questions relatives à cette politique (revue seulement).</w:t>
            </w:r>
          </w:p>
        </w:tc>
        <w:tc>
          <w:tcPr>
            <w:tcW w:w="2337" w:type="dxa"/>
            <w:shd w:val="clear" w:color="auto" w:fill="C00000"/>
            <w:vAlign w:val="center"/>
          </w:tcPr>
          <w:p w14:paraId="1E25B914" w14:textId="03B8E3E2" w:rsidR="00356A79" w:rsidRPr="00F20E33" w:rsidRDefault="00356A79" w:rsidP="00356A79">
            <w:pPr>
              <w:jc w:val="center"/>
              <w:rPr>
                <w:color w:val="000000" w:themeColor="text1"/>
                <w:lang w:val="fr-CA"/>
              </w:rPr>
            </w:pPr>
            <w:r w:rsidRPr="00F20E33">
              <w:rPr>
                <w:color w:val="000000" w:themeColor="text1"/>
                <w:lang w:val="fr-CA"/>
              </w:rPr>
              <w:t>OBLIGATOIRE</w:t>
            </w:r>
          </w:p>
        </w:tc>
        <w:tc>
          <w:tcPr>
            <w:tcW w:w="2338" w:type="dxa"/>
            <w:shd w:val="clear" w:color="auto" w:fill="C00000"/>
            <w:vAlign w:val="center"/>
          </w:tcPr>
          <w:p w14:paraId="2839F754" w14:textId="644BC97C" w:rsidR="00356A79" w:rsidRPr="00F20E33" w:rsidRDefault="00133B05" w:rsidP="00356A79">
            <w:pPr>
              <w:jc w:val="center"/>
              <w:rPr>
                <w:color w:val="000000" w:themeColor="text1"/>
                <w:lang w:val="fr-CA"/>
              </w:rPr>
            </w:pPr>
            <w:r w:rsidRPr="00F20E33">
              <w:rPr>
                <w:color w:val="000000" w:themeColor="text1"/>
                <w:lang w:val="fr-CA"/>
              </w:rPr>
              <w:t>OBLIGATOIRE</w:t>
            </w:r>
          </w:p>
        </w:tc>
        <w:tc>
          <w:tcPr>
            <w:tcW w:w="2338" w:type="dxa"/>
            <w:shd w:val="clear" w:color="auto" w:fill="C00000"/>
            <w:vAlign w:val="center"/>
          </w:tcPr>
          <w:p w14:paraId="52D21ACB" w14:textId="4A7D7935" w:rsidR="00356A79" w:rsidRPr="00F20E33" w:rsidRDefault="00133B05" w:rsidP="00356A79">
            <w:pPr>
              <w:jc w:val="center"/>
              <w:rPr>
                <w:color w:val="000000" w:themeColor="text1"/>
                <w:lang w:val="fr-CA"/>
              </w:rPr>
            </w:pPr>
            <w:r w:rsidRPr="00F20E33">
              <w:rPr>
                <w:color w:val="000000" w:themeColor="text1"/>
                <w:lang w:val="fr-CA"/>
              </w:rPr>
              <w:t>OBLIGATOIRE</w:t>
            </w:r>
          </w:p>
        </w:tc>
      </w:tr>
      <w:tr w:rsidR="00133B05" w14:paraId="68AB3D16" w14:textId="77777777" w:rsidTr="00F20E33">
        <w:tc>
          <w:tcPr>
            <w:tcW w:w="2337" w:type="dxa"/>
          </w:tcPr>
          <w:p w14:paraId="140CC98A" w14:textId="2C44AC14" w:rsidR="00133B05" w:rsidRPr="00D14EB5" w:rsidRDefault="00133B05" w:rsidP="00D14EB5">
            <w:pPr>
              <w:rPr>
                <w:b/>
                <w:bCs/>
                <w:lang w:val="fr-CA"/>
              </w:rPr>
            </w:pPr>
            <w:r w:rsidRPr="00133B05">
              <w:rPr>
                <w:b/>
                <w:bCs/>
                <w:lang w:val="fr-CA"/>
              </w:rPr>
              <w:t xml:space="preserve">Aider les lecteurs et les réviseurs </w:t>
            </w:r>
            <w:r>
              <w:rPr>
                <w:b/>
                <w:bCs/>
                <w:lang w:val="fr-CA"/>
              </w:rPr>
              <w:t>pour les</w:t>
            </w:r>
            <w:r w:rsidRPr="00133B05">
              <w:rPr>
                <w:b/>
                <w:bCs/>
                <w:lang w:val="fr-CA"/>
              </w:rPr>
              <w:t xml:space="preserve"> demandes d'accès</w:t>
            </w:r>
          </w:p>
        </w:tc>
        <w:tc>
          <w:tcPr>
            <w:tcW w:w="2337" w:type="dxa"/>
            <w:shd w:val="clear" w:color="auto" w:fill="C00000"/>
            <w:vAlign w:val="center"/>
          </w:tcPr>
          <w:p w14:paraId="499C7299" w14:textId="289ED01B" w:rsidR="00133B05" w:rsidRPr="00F20E33" w:rsidRDefault="00133B05" w:rsidP="00356A79">
            <w:pPr>
              <w:jc w:val="center"/>
              <w:rPr>
                <w:color w:val="000000" w:themeColor="text1"/>
                <w:lang w:val="fr-CA"/>
              </w:rPr>
            </w:pPr>
            <w:r w:rsidRPr="00F20E33">
              <w:rPr>
                <w:color w:val="000000" w:themeColor="text1"/>
                <w:lang w:val="fr-CA"/>
              </w:rPr>
              <w:t>OBLIGATOIRE</w:t>
            </w:r>
          </w:p>
        </w:tc>
        <w:tc>
          <w:tcPr>
            <w:tcW w:w="2338" w:type="dxa"/>
            <w:shd w:val="clear" w:color="auto" w:fill="C00000"/>
            <w:vAlign w:val="center"/>
          </w:tcPr>
          <w:p w14:paraId="11E52BA8" w14:textId="6FA2763F" w:rsidR="00133B05" w:rsidRPr="00F20E33" w:rsidRDefault="00133B05" w:rsidP="00356A79">
            <w:pPr>
              <w:jc w:val="center"/>
              <w:rPr>
                <w:color w:val="000000" w:themeColor="text1"/>
                <w:lang w:val="fr-CA"/>
              </w:rPr>
            </w:pPr>
            <w:r w:rsidRPr="00F20E33">
              <w:rPr>
                <w:color w:val="000000" w:themeColor="text1"/>
                <w:lang w:val="fr-CA"/>
              </w:rPr>
              <w:t>OBLIGATOIRE</w:t>
            </w:r>
          </w:p>
        </w:tc>
        <w:tc>
          <w:tcPr>
            <w:tcW w:w="2338" w:type="dxa"/>
            <w:shd w:val="clear" w:color="auto" w:fill="C00000"/>
            <w:vAlign w:val="center"/>
          </w:tcPr>
          <w:p w14:paraId="1FC877DE" w14:textId="469F31F1" w:rsidR="00133B05" w:rsidRPr="00F20E33" w:rsidRDefault="00133B05" w:rsidP="00356A79">
            <w:pPr>
              <w:jc w:val="center"/>
              <w:rPr>
                <w:color w:val="000000" w:themeColor="text1"/>
                <w:lang w:val="fr-CA"/>
              </w:rPr>
            </w:pPr>
            <w:r w:rsidRPr="00F20E33">
              <w:rPr>
                <w:color w:val="000000" w:themeColor="text1"/>
                <w:lang w:val="fr-CA"/>
              </w:rPr>
              <w:t>OBLIGATOIRE</w:t>
            </w:r>
          </w:p>
        </w:tc>
      </w:tr>
    </w:tbl>
    <w:p w14:paraId="243CFD6D" w14:textId="06FB96C3" w:rsidR="00356A79" w:rsidRDefault="00356A79" w:rsidP="00D14EB5">
      <w:pPr>
        <w:rPr>
          <w:lang w:val="fr-CA"/>
        </w:rPr>
      </w:pPr>
    </w:p>
    <w:p w14:paraId="6E3290F6" w14:textId="13A59347" w:rsidR="00BD1C76" w:rsidRPr="00BD1C76" w:rsidRDefault="00BD1C76" w:rsidP="00BD1C76">
      <w:pPr>
        <w:shd w:val="clear" w:color="auto" w:fill="595959" w:themeFill="text1" w:themeFillTint="A6"/>
        <w:rPr>
          <w:b/>
          <w:bCs/>
          <w:color w:val="FFFFFF" w:themeColor="background1"/>
          <w:lang w:val="fr-CA"/>
        </w:rPr>
      </w:pPr>
      <w:r w:rsidRPr="00BD1C76">
        <w:rPr>
          <w:b/>
          <w:bCs/>
          <w:color w:val="FFFFFF" w:themeColor="background1"/>
          <w:lang w:val="fr-CA"/>
        </w:rPr>
        <w:lastRenderedPageBreak/>
        <w:t xml:space="preserve">TEXTE DE RÉFÉRENCE POUR LES COMPOSANTES IDENTIQUES AUX POLITIQUES DE TYPE </w:t>
      </w:r>
      <w:r>
        <w:rPr>
          <w:b/>
          <w:bCs/>
          <w:color w:val="FFFFFF" w:themeColor="background1"/>
          <w:lang w:val="fr-CA"/>
        </w:rPr>
        <w:t>4, 5</w:t>
      </w:r>
      <w:r w:rsidRPr="00BD1C76">
        <w:rPr>
          <w:b/>
          <w:bCs/>
          <w:color w:val="FFFFFF" w:themeColor="background1"/>
          <w:lang w:val="fr-CA"/>
        </w:rPr>
        <w:t xml:space="preserve"> ET </w:t>
      </w:r>
      <w:r>
        <w:rPr>
          <w:b/>
          <w:bCs/>
          <w:color w:val="FFFFFF" w:themeColor="background1"/>
          <w:lang w:val="fr-CA"/>
        </w:rPr>
        <w:t>6</w:t>
      </w:r>
    </w:p>
    <w:p w14:paraId="7CD35C87" w14:textId="77777777" w:rsidR="00356A79" w:rsidRDefault="00356A79" w:rsidP="00D14EB5">
      <w:pPr>
        <w:rPr>
          <w:lang w:val="fr-CA"/>
        </w:rPr>
      </w:pPr>
    </w:p>
    <w:p w14:paraId="57A1A1EF" w14:textId="49D83748" w:rsidR="004D59B3" w:rsidRPr="000F4A59" w:rsidRDefault="004D59B3" w:rsidP="00E3529E">
      <w:pPr>
        <w:shd w:val="clear" w:color="auto" w:fill="D9D9D9" w:themeFill="background1" w:themeFillShade="D9"/>
        <w:rPr>
          <w:b/>
          <w:bCs/>
          <w:lang w:val="fr-CA"/>
        </w:rPr>
      </w:pPr>
      <w:bookmarkStart w:id="0" w:name="_5vq59n96h5c7" w:colFirst="0" w:colLast="0"/>
      <w:bookmarkStart w:id="1" w:name="_p9q8noyk6it3" w:colFirst="0" w:colLast="0"/>
      <w:bookmarkStart w:id="2" w:name="_h56pb2pomhtq" w:colFirst="0" w:colLast="0"/>
      <w:bookmarkEnd w:id="0"/>
      <w:bookmarkEnd w:id="1"/>
      <w:bookmarkEnd w:id="2"/>
      <w:r w:rsidRPr="000F4A59">
        <w:rPr>
          <w:b/>
          <w:bCs/>
          <w:lang w:val="fr-CA"/>
        </w:rPr>
        <w:t>Définition des exceptions</w:t>
      </w:r>
    </w:p>
    <w:p w14:paraId="6ECE2770" w14:textId="77777777" w:rsidR="004D59B3" w:rsidRDefault="004D59B3" w:rsidP="004D59B3">
      <w:pPr>
        <w:rPr>
          <w:lang w:val="fr-CA"/>
        </w:rPr>
      </w:pPr>
      <w:r w:rsidRPr="000F4A59">
        <w:rPr>
          <w:lang w:val="fr-CA"/>
        </w:rPr>
        <w:t>Défini</w:t>
      </w:r>
      <w:r>
        <w:rPr>
          <w:lang w:val="fr-CA"/>
        </w:rPr>
        <w:t>t</w:t>
      </w:r>
      <w:r w:rsidRPr="000F4A59">
        <w:rPr>
          <w:lang w:val="fr-CA"/>
        </w:rPr>
        <w:t xml:space="preserve"> les données qui n'ont pas besoin d'être, ou qui ne doivent pas être mises à la disposition du public, dans le cadre de la politique de données de la revue, ainsi que les autres options de description de la disponibilité des données.</w:t>
      </w:r>
    </w:p>
    <w:p w14:paraId="75CBD6D1" w14:textId="77777777" w:rsidR="004D59B3" w:rsidRDefault="004D59B3" w:rsidP="004D59B3">
      <w:pPr>
        <w:rPr>
          <w:lang w:val="fr-CA"/>
        </w:rPr>
      </w:pPr>
    </w:p>
    <w:p w14:paraId="27FCF5C1" w14:textId="77777777" w:rsidR="004D59B3" w:rsidRDefault="004D59B3" w:rsidP="004D59B3">
      <w:pPr>
        <w:pBdr>
          <w:top w:val="single" w:sz="4" w:space="1" w:color="auto"/>
          <w:left w:val="single" w:sz="4" w:space="4" w:color="auto"/>
          <w:bottom w:val="single" w:sz="4" w:space="1" w:color="auto"/>
          <w:right w:val="single" w:sz="4" w:space="4" w:color="auto"/>
        </w:pBdr>
        <w:rPr>
          <w:lang w:val="fr-CA"/>
        </w:rPr>
      </w:pPr>
      <w:r>
        <w:rPr>
          <w:lang w:val="fr-CA"/>
        </w:rPr>
        <w:t>Texte de référence proposé</w:t>
      </w:r>
    </w:p>
    <w:p w14:paraId="2E6CC142" w14:textId="77777777" w:rsidR="004D59B3" w:rsidRPr="005146B7" w:rsidRDefault="004D59B3" w:rsidP="004D59B3">
      <w:pPr>
        <w:ind w:left="100"/>
        <w:jc w:val="both"/>
        <w:rPr>
          <w:lang w:val="fr-CA"/>
        </w:rPr>
      </w:pPr>
      <w:r w:rsidRPr="005146B7">
        <w:rPr>
          <w:lang w:val="fr-CA"/>
        </w:rPr>
        <w:t>Les données de recherche qui ne sont pas nécessaires pour vérifier les résultats rapportés dans les articles ne sont pas couvertes par cette politique.</w:t>
      </w:r>
    </w:p>
    <w:p w14:paraId="44E3A93B" w14:textId="77777777" w:rsidR="00D85C39" w:rsidRDefault="004D59B3" w:rsidP="004D59B3">
      <w:pPr>
        <w:ind w:left="100"/>
        <w:jc w:val="both"/>
        <w:rPr>
          <w:lang w:val="fr-CA"/>
        </w:rPr>
      </w:pPr>
      <w:r w:rsidRPr="005146B7">
        <w:rPr>
          <w:lang w:val="fr-CA"/>
        </w:rPr>
        <w:t>Cette politique n'exige pas le partage public de données quantitatives ou qualitatives qui pourraient identifier un participant à la recherche, à moins que les participants n'aient consenti à la divulgation des données. La politique n'exige pas non plus le partage public d'autres données sensibles, telles que l'emplacement d'espèces menacées.</w:t>
      </w:r>
    </w:p>
    <w:p w14:paraId="6E4CEFDF" w14:textId="77777777" w:rsidR="00D85C39" w:rsidRDefault="00D85C39" w:rsidP="004D59B3">
      <w:pPr>
        <w:ind w:left="100"/>
        <w:jc w:val="both"/>
        <w:rPr>
          <w:lang w:val="fr-CA"/>
        </w:rPr>
      </w:pPr>
    </w:p>
    <w:p w14:paraId="70A2D69E" w14:textId="3AE879EF" w:rsidR="00D750BB" w:rsidRDefault="004D59B3" w:rsidP="004D59B3">
      <w:pPr>
        <w:ind w:left="100"/>
        <w:jc w:val="both"/>
        <w:rPr>
          <w:lang w:val="fr-CA"/>
        </w:rPr>
      </w:pPr>
      <w:r w:rsidRPr="005146B7">
        <w:rPr>
          <w:lang w:val="fr-CA"/>
        </w:rPr>
        <w:t xml:space="preserve">Les alternatives au partage public de données sensibles ou personnelles incluent </w:t>
      </w:r>
      <w:r w:rsidR="00D85C39">
        <w:rPr>
          <w:lang w:val="fr-CA"/>
        </w:rPr>
        <w:t>(</w:t>
      </w:r>
      <w:r w:rsidR="00D85C39" w:rsidRPr="00D750BB">
        <w:rPr>
          <w:b/>
          <w:bCs/>
          <w:lang w:val="fr-CA"/>
        </w:rPr>
        <w:t>Note :</w:t>
      </w:r>
      <w:r w:rsidR="00D85C39">
        <w:rPr>
          <w:lang w:val="fr-CA"/>
        </w:rPr>
        <w:t xml:space="preserve"> Types 4 </w:t>
      </w:r>
      <w:r w:rsidR="00D750BB">
        <w:rPr>
          <w:lang w:val="fr-CA"/>
        </w:rPr>
        <w:t>et</w:t>
      </w:r>
      <w:r w:rsidR="00D85C39">
        <w:rPr>
          <w:lang w:val="fr-CA"/>
        </w:rPr>
        <w:t xml:space="preserve"> 5</w:t>
      </w:r>
      <w:r w:rsidR="00D750BB">
        <w:rPr>
          <w:lang w:val="fr-CA"/>
        </w:rPr>
        <w:t>) :</w:t>
      </w:r>
    </w:p>
    <w:p w14:paraId="3BE87A17" w14:textId="77777777" w:rsidR="00D750BB" w:rsidRDefault="00D750BB" w:rsidP="004D59B3">
      <w:pPr>
        <w:ind w:left="100"/>
        <w:jc w:val="both"/>
        <w:rPr>
          <w:lang w:val="fr-CA"/>
        </w:rPr>
      </w:pPr>
    </w:p>
    <w:p w14:paraId="1D3EDA25" w14:textId="3C629B8A" w:rsidR="004D59B3" w:rsidRPr="005146B7" w:rsidRDefault="00D750BB" w:rsidP="004D59B3">
      <w:pPr>
        <w:ind w:left="100"/>
        <w:jc w:val="both"/>
        <w:rPr>
          <w:lang w:val="fr-CA"/>
        </w:rPr>
      </w:pPr>
      <w:r w:rsidRPr="00D750BB">
        <w:rPr>
          <w:lang w:val="fr-CA"/>
        </w:rPr>
        <w:t>Les données personnelles ou sensibles doivent être partagées de manière sécurisée ou à accès contrôlé, en accord avec les éditeurs, en veillant à ce que les éditeurs et les évaluateurs puissent accéder aux données. Les méthodes de partage des données sensibles ou personnelles comprennent</w:t>
      </w:r>
      <w:r>
        <w:rPr>
          <w:lang w:val="fr-CA"/>
        </w:rPr>
        <w:t xml:space="preserve"> (</w:t>
      </w:r>
      <w:r w:rsidRPr="00D750BB">
        <w:rPr>
          <w:b/>
          <w:bCs/>
          <w:lang w:val="fr-CA"/>
        </w:rPr>
        <w:t>Note :</w:t>
      </w:r>
      <w:r>
        <w:rPr>
          <w:lang w:val="fr-CA"/>
        </w:rPr>
        <w:t xml:space="preserve"> Type 6) </w:t>
      </w:r>
      <w:r w:rsidRPr="00D750BB">
        <w:rPr>
          <w:lang w:val="fr-CA"/>
        </w:rPr>
        <w:t>:</w:t>
      </w:r>
    </w:p>
    <w:p w14:paraId="0F4376C4" w14:textId="77777777" w:rsidR="004D59B3" w:rsidRPr="005146B7" w:rsidRDefault="004D59B3" w:rsidP="004D59B3">
      <w:pPr>
        <w:numPr>
          <w:ilvl w:val="0"/>
          <w:numId w:val="38"/>
        </w:numPr>
        <w:jc w:val="both"/>
        <w:rPr>
          <w:lang w:val="fr-CA"/>
        </w:rPr>
      </w:pPr>
      <w:r w:rsidRPr="005146B7">
        <w:rPr>
          <w:lang w:val="fr-CA"/>
        </w:rPr>
        <w:t>Dépôt des données de recherche dans des plateformes à accès contrôlé.</w:t>
      </w:r>
    </w:p>
    <w:p w14:paraId="2A2FEEF5" w14:textId="77777777" w:rsidR="004D59B3" w:rsidRPr="005146B7" w:rsidRDefault="004D59B3" w:rsidP="004D59B3">
      <w:pPr>
        <w:numPr>
          <w:ilvl w:val="0"/>
          <w:numId w:val="38"/>
        </w:numPr>
        <w:jc w:val="both"/>
        <w:rPr>
          <w:lang w:val="fr-CA"/>
        </w:rPr>
      </w:pPr>
      <w:r w:rsidRPr="005146B7">
        <w:rPr>
          <w:lang w:val="fr-CA"/>
        </w:rPr>
        <w:t xml:space="preserve">Anonymisation ou </w:t>
      </w:r>
      <w:proofErr w:type="spellStart"/>
      <w:r w:rsidRPr="005146B7">
        <w:rPr>
          <w:lang w:val="fr-CA"/>
        </w:rPr>
        <w:t>pseudoanonymisation</w:t>
      </w:r>
      <w:proofErr w:type="spellEnd"/>
      <w:r w:rsidRPr="005146B7">
        <w:rPr>
          <w:lang w:val="fr-CA"/>
        </w:rPr>
        <w:t xml:space="preserve"> des données avant le partage public</w:t>
      </w:r>
    </w:p>
    <w:p w14:paraId="0BEEF7DC" w14:textId="15FAA277" w:rsidR="004D59B3" w:rsidRPr="005146B7" w:rsidRDefault="00D85C39" w:rsidP="004D59B3">
      <w:pPr>
        <w:numPr>
          <w:ilvl w:val="0"/>
          <w:numId w:val="38"/>
        </w:numPr>
        <w:jc w:val="both"/>
        <w:rPr>
          <w:lang w:val="fr-CA"/>
        </w:rPr>
      </w:pPr>
      <w:r w:rsidRPr="00D85C39">
        <w:rPr>
          <w:color w:val="595959" w:themeColor="text1" w:themeTint="A6"/>
          <w:lang w:val="fr-CA"/>
        </w:rPr>
        <w:t>Seulement le p</w:t>
      </w:r>
      <w:r w:rsidR="004D59B3" w:rsidRPr="00D85C39">
        <w:rPr>
          <w:color w:val="595959" w:themeColor="text1" w:themeTint="A6"/>
          <w:lang w:val="fr-CA"/>
        </w:rPr>
        <w:t>artage des métadonnées sur les données de la recherche</w:t>
      </w:r>
      <w:r w:rsidRPr="00D85C39">
        <w:rPr>
          <w:color w:val="595959" w:themeColor="text1" w:themeTint="A6"/>
          <w:lang w:val="fr-CA"/>
        </w:rPr>
        <w:t xml:space="preserve"> </w:t>
      </w:r>
      <w:r>
        <w:rPr>
          <w:lang w:val="fr-CA"/>
        </w:rPr>
        <w:t>(</w:t>
      </w:r>
      <w:r w:rsidRPr="00D85C39">
        <w:rPr>
          <w:b/>
          <w:bCs/>
          <w:lang w:val="fr-CA"/>
        </w:rPr>
        <w:t>Note :</w:t>
      </w:r>
      <w:r>
        <w:rPr>
          <w:lang w:val="fr-CA"/>
        </w:rPr>
        <w:t xml:space="preserve"> pas pour les types 5 et 6)</w:t>
      </w:r>
    </w:p>
    <w:p w14:paraId="69A77801" w14:textId="425A3E30" w:rsidR="004D59B3" w:rsidRPr="00D85C39" w:rsidRDefault="004D59B3" w:rsidP="00D85C39">
      <w:pPr>
        <w:numPr>
          <w:ilvl w:val="0"/>
          <w:numId w:val="38"/>
        </w:numPr>
        <w:jc w:val="both"/>
        <w:rPr>
          <w:lang w:val="fr-CA"/>
        </w:rPr>
      </w:pPr>
      <w:r w:rsidRPr="00D85C39">
        <w:rPr>
          <w:color w:val="595959" w:themeColor="text1" w:themeTint="A6"/>
          <w:lang w:val="fr-CA"/>
        </w:rPr>
        <w:t>Signalement des procédures d'accès à vos données de recherche dans votre article et gestion des demandes d'accès aux données provenant des autres chercheurs.</w:t>
      </w:r>
      <w:r w:rsidR="00D85C39" w:rsidRPr="00D85C39">
        <w:rPr>
          <w:color w:val="595959" w:themeColor="text1" w:themeTint="A6"/>
          <w:lang w:val="fr-CA"/>
        </w:rPr>
        <w:t xml:space="preserve"> </w:t>
      </w:r>
      <w:r w:rsidR="00D85C39">
        <w:rPr>
          <w:lang w:val="fr-CA"/>
        </w:rPr>
        <w:t>(</w:t>
      </w:r>
      <w:r w:rsidR="00D85C39" w:rsidRPr="00D85C39">
        <w:rPr>
          <w:b/>
          <w:bCs/>
          <w:lang w:val="fr-CA"/>
        </w:rPr>
        <w:t>Note :</w:t>
      </w:r>
      <w:r w:rsidR="00D85C39">
        <w:rPr>
          <w:b/>
          <w:bCs/>
          <w:lang w:val="fr-CA"/>
        </w:rPr>
        <w:t xml:space="preserve"> </w:t>
      </w:r>
      <w:r w:rsidR="00D85C39">
        <w:rPr>
          <w:lang w:val="fr-CA"/>
        </w:rPr>
        <w:t>pas pour les types 5 et 6)</w:t>
      </w:r>
    </w:p>
    <w:p w14:paraId="58B3AA55" w14:textId="090536C0" w:rsidR="004D59B3" w:rsidRDefault="004D59B3" w:rsidP="004D59B3">
      <w:pPr>
        <w:pBdr>
          <w:bottom w:val="single" w:sz="4" w:space="1" w:color="auto"/>
        </w:pBdr>
        <w:rPr>
          <w:lang w:val="fr-CA"/>
        </w:rPr>
      </w:pPr>
    </w:p>
    <w:p w14:paraId="281224A4" w14:textId="26CABBDA" w:rsidR="00D85C39" w:rsidRDefault="00D85C39" w:rsidP="004D59B3">
      <w:pPr>
        <w:pBdr>
          <w:bottom w:val="single" w:sz="4" w:space="1" w:color="auto"/>
        </w:pBdr>
        <w:rPr>
          <w:lang w:val="fr-CA"/>
        </w:rPr>
      </w:pPr>
      <w:r w:rsidRPr="00D85C39">
        <w:rPr>
          <w:lang w:val="fr-CA"/>
        </w:rPr>
        <w:t>Dans ces cas, les procédures et conditions d'accès aux données de votre recherche doivent être incluses dans votre manuscrit.</w:t>
      </w:r>
    </w:p>
    <w:p w14:paraId="2391D442" w14:textId="77777777" w:rsidR="00D750BB" w:rsidRDefault="00D750BB" w:rsidP="00D750BB">
      <w:pPr>
        <w:rPr>
          <w:lang w:val="fr-CA"/>
        </w:rPr>
      </w:pPr>
    </w:p>
    <w:p w14:paraId="2C88BBD3" w14:textId="77777777" w:rsidR="00D750BB" w:rsidRPr="005146B7" w:rsidRDefault="00D750BB" w:rsidP="00E3529E">
      <w:pPr>
        <w:shd w:val="clear" w:color="auto" w:fill="D9D9D9" w:themeFill="background1" w:themeFillShade="D9"/>
        <w:rPr>
          <w:b/>
          <w:bCs/>
          <w:lang w:val="fr-CA"/>
        </w:rPr>
      </w:pPr>
      <w:r w:rsidRPr="005146B7">
        <w:rPr>
          <w:b/>
          <w:bCs/>
          <w:lang w:val="fr-CA"/>
        </w:rPr>
        <w:t>Embargo</w:t>
      </w:r>
    </w:p>
    <w:p w14:paraId="149A4AF2" w14:textId="77777777" w:rsidR="00D750BB" w:rsidRDefault="00D750BB" w:rsidP="00D750BB">
      <w:pPr>
        <w:rPr>
          <w:lang w:val="fr-CA"/>
        </w:rPr>
      </w:pPr>
      <w:r w:rsidRPr="005146B7">
        <w:rPr>
          <w:lang w:val="fr-CA"/>
        </w:rPr>
        <w:t>Défini</w:t>
      </w:r>
      <w:r>
        <w:rPr>
          <w:lang w:val="fr-CA"/>
        </w:rPr>
        <w:t>t</w:t>
      </w:r>
      <w:r w:rsidRPr="005146B7">
        <w:rPr>
          <w:lang w:val="fr-CA"/>
        </w:rPr>
        <w:t xml:space="preserve"> si et quels embargos sur la diffusion des données sont autorisés</w:t>
      </w:r>
      <w:r>
        <w:rPr>
          <w:lang w:val="fr-CA"/>
        </w:rPr>
        <w:t>.</w:t>
      </w:r>
    </w:p>
    <w:p w14:paraId="7E39EFB7" w14:textId="77777777" w:rsidR="00D750BB" w:rsidRDefault="00D750BB" w:rsidP="00D750BB">
      <w:pPr>
        <w:rPr>
          <w:lang w:val="fr-CA"/>
        </w:rPr>
      </w:pPr>
    </w:p>
    <w:p w14:paraId="0FAE3C77" w14:textId="77777777" w:rsidR="00D750BB" w:rsidRDefault="00D750BB" w:rsidP="00D750BB">
      <w:pPr>
        <w:pBdr>
          <w:top w:val="single" w:sz="4" w:space="1" w:color="auto"/>
          <w:left w:val="single" w:sz="4" w:space="4" w:color="auto"/>
          <w:bottom w:val="single" w:sz="4" w:space="1" w:color="auto"/>
          <w:right w:val="single" w:sz="4" w:space="4" w:color="auto"/>
        </w:pBdr>
        <w:rPr>
          <w:lang w:val="fr-CA"/>
        </w:rPr>
      </w:pPr>
      <w:r>
        <w:rPr>
          <w:lang w:val="fr-CA"/>
        </w:rPr>
        <w:t>Texte de référence</w:t>
      </w:r>
    </w:p>
    <w:p w14:paraId="5F38D480" w14:textId="7F4F92C2" w:rsidR="00944292" w:rsidRDefault="00D750BB" w:rsidP="00D750BB">
      <w:pPr>
        <w:rPr>
          <w:lang w:val="fr-CA"/>
        </w:rPr>
      </w:pPr>
      <w:r w:rsidRPr="00D750BB">
        <w:rPr>
          <w:lang w:val="fr-CA"/>
        </w:rPr>
        <w:t>Les embargos sur le partage des données ne sont autorisés qu'avec l'accord de l'éditeur</w:t>
      </w:r>
      <w:r>
        <w:rPr>
          <w:lang w:val="fr-CA"/>
        </w:rPr>
        <w:t>. (</w:t>
      </w:r>
      <w:r w:rsidRPr="00D750BB">
        <w:rPr>
          <w:b/>
          <w:bCs/>
          <w:lang w:val="fr-CA"/>
        </w:rPr>
        <w:t>Note :</w:t>
      </w:r>
      <w:r>
        <w:rPr>
          <w:lang w:val="fr-CA"/>
        </w:rPr>
        <w:t xml:space="preserve"> Type 4)</w:t>
      </w:r>
    </w:p>
    <w:p w14:paraId="64487842" w14:textId="31296471" w:rsidR="00D750BB" w:rsidRDefault="00D750BB" w:rsidP="00D750BB">
      <w:pPr>
        <w:rPr>
          <w:lang w:val="fr-CA"/>
        </w:rPr>
      </w:pPr>
      <w:r>
        <w:rPr>
          <w:lang w:val="fr-CA"/>
        </w:rPr>
        <w:t>ou</w:t>
      </w:r>
    </w:p>
    <w:p w14:paraId="016AD12B" w14:textId="62982486" w:rsidR="00D750BB" w:rsidRDefault="00D750BB" w:rsidP="00D750BB">
      <w:pPr>
        <w:rPr>
          <w:sz w:val="24"/>
          <w:szCs w:val="24"/>
          <w:lang w:val="fr-CA"/>
        </w:rPr>
      </w:pPr>
      <w:r w:rsidRPr="00D750BB">
        <w:rPr>
          <w:sz w:val="24"/>
          <w:szCs w:val="24"/>
          <w:lang w:val="fr-CA"/>
        </w:rPr>
        <w:t>Les embargos sur le partage des données ne sont pas autorisés.</w:t>
      </w:r>
      <w:r>
        <w:rPr>
          <w:sz w:val="24"/>
          <w:szCs w:val="24"/>
          <w:lang w:val="fr-CA"/>
        </w:rPr>
        <w:t xml:space="preserve"> (</w:t>
      </w:r>
      <w:r w:rsidRPr="00D750BB">
        <w:rPr>
          <w:b/>
          <w:bCs/>
          <w:sz w:val="24"/>
          <w:szCs w:val="24"/>
          <w:lang w:val="fr-CA"/>
        </w:rPr>
        <w:t>Note :</w:t>
      </w:r>
      <w:r>
        <w:rPr>
          <w:sz w:val="24"/>
          <w:szCs w:val="24"/>
          <w:lang w:val="fr-CA"/>
        </w:rPr>
        <w:t xml:space="preserve"> Types 5 et 6)</w:t>
      </w:r>
    </w:p>
    <w:p w14:paraId="01BE025F" w14:textId="716DBA3F" w:rsidR="00D750BB" w:rsidRDefault="00D750BB" w:rsidP="00D750BB">
      <w:pPr>
        <w:pBdr>
          <w:bottom w:val="single" w:sz="4" w:space="1" w:color="auto"/>
        </w:pBdr>
        <w:rPr>
          <w:sz w:val="24"/>
          <w:szCs w:val="24"/>
          <w:lang w:val="fr-CA"/>
        </w:rPr>
      </w:pPr>
    </w:p>
    <w:p w14:paraId="198EE486" w14:textId="2D286CC1" w:rsidR="00D750BB" w:rsidRDefault="00D750BB" w:rsidP="00D750BB">
      <w:pPr>
        <w:rPr>
          <w:sz w:val="24"/>
          <w:szCs w:val="24"/>
          <w:lang w:val="fr-CA"/>
        </w:rPr>
      </w:pPr>
    </w:p>
    <w:p w14:paraId="02E1052E" w14:textId="2B889730" w:rsidR="00D750BB" w:rsidRPr="00786EF8" w:rsidRDefault="00D750BB" w:rsidP="00E3529E">
      <w:pPr>
        <w:shd w:val="clear" w:color="auto" w:fill="D9D9D9" w:themeFill="background1" w:themeFillShade="D9"/>
        <w:rPr>
          <w:b/>
          <w:bCs/>
          <w:lang w:val="fr-CA"/>
        </w:rPr>
      </w:pPr>
      <w:r w:rsidRPr="00786EF8">
        <w:rPr>
          <w:b/>
          <w:bCs/>
          <w:lang w:val="fr-CA"/>
        </w:rPr>
        <w:t>Matériel complémentaire</w:t>
      </w:r>
    </w:p>
    <w:p w14:paraId="075E1D69" w14:textId="77777777" w:rsidR="00786EF8" w:rsidRDefault="00786EF8" w:rsidP="00786EF8">
      <w:pPr>
        <w:rPr>
          <w:lang w:val="fr-CA"/>
        </w:rPr>
      </w:pPr>
      <w:r w:rsidRPr="00C4026E">
        <w:rPr>
          <w:lang w:val="fr-CA"/>
        </w:rPr>
        <w:t>Définit la position de la revue sur le partage des données via des documents supplémentaires et si et quand le partage de données en tant que matériel supplémentaire est autorisé par la politique.</w:t>
      </w:r>
    </w:p>
    <w:p w14:paraId="321CD5F1" w14:textId="17485FA9" w:rsidR="00D750BB" w:rsidRPr="00D750BB" w:rsidRDefault="00D750BB" w:rsidP="00D750BB">
      <w:pPr>
        <w:rPr>
          <w:lang w:val="fr-CA"/>
        </w:rPr>
      </w:pPr>
    </w:p>
    <w:p w14:paraId="4E8A9974" w14:textId="28C44E5D" w:rsidR="00D750BB" w:rsidRPr="00D750BB" w:rsidRDefault="00D750BB" w:rsidP="00786EF8">
      <w:pPr>
        <w:pBdr>
          <w:top w:val="single" w:sz="4" w:space="1" w:color="auto"/>
          <w:left w:val="single" w:sz="4" w:space="4" w:color="auto"/>
          <w:bottom w:val="single" w:sz="4" w:space="1" w:color="auto"/>
          <w:right w:val="single" w:sz="4" w:space="4" w:color="auto"/>
        </w:pBdr>
        <w:rPr>
          <w:lang w:val="fr-CA"/>
        </w:rPr>
      </w:pPr>
      <w:r w:rsidRPr="00D750BB">
        <w:rPr>
          <w:lang w:val="fr-CA"/>
        </w:rPr>
        <w:t>Texte de référence proposé</w:t>
      </w:r>
    </w:p>
    <w:p w14:paraId="0CDFFEEB" w14:textId="77777777" w:rsidR="00786EF8" w:rsidRDefault="00D750BB" w:rsidP="00786EF8">
      <w:pPr>
        <w:rPr>
          <w:lang w:val="fr-CA"/>
        </w:rPr>
      </w:pPr>
      <w:r w:rsidRPr="00D750BB">
        <w:rPr>
          <w:lang w:val="fr-CA"/>
        </w:rPr>
        <w:t>Le partage de données de recherche en tant que fichiers d'information supplémentaires est déconseillé</w:t>
      </w:r>
      <w:r w:rsidR="00786EF8">
        <w:rPr>
          <w:lang w:val="fr-CA"/>
        </w:rPr>
        <w:t xml:space="preserve"> (</w:t>
      </w:r>
      <w:r w:rsidR="00786EF8" w:rsidRPr="00786EF8">
        <w:rPr>
          <w:b/>
          <w:bCs/>
          <w:lang w:val="fr-CA"/>
        </w:rPr>
        <w:t>Note :</w:t>
      </w:r>
      <w:r w:rsidR="00786EF8">
        <w:rPr>
          <w:lang w:val="fr-CA"/>
        </w:rPr>
        <w:t xml:space="preserve"> Type 4) // </w:t>
      </w:r>
      <w:r w:rsidR="00786EF8" w:rsidRPr="00786EF8">
        <w:rPr>
          <w:lang w:val="fr-CA"/>
        </w:rPr>
        <w:t>n'est pas autorisé</w:t>
      </w:r>
      <w:r w:rsidR="00786EF8">
        <w:rPr>
          <w:lang w:val="fr-CA"/>
        </w:rPr>
        <w:t xml:space="preserve"> (</w:t>
      </w:r>
      <w:r w:rsidR="00786EF8" w:rsidRPr="00786EF8">
        <w:rPr>
          <w:b/>
          <w:bCs/>
          <w:lang w:val="fr-CA"/>
        </w:rPr>
        <w:t>Note :</w:t>
      </w:r>
      <w:r w:rsidR="00786EF8">
        <w:rPr>
          <w:lang w:val="fr-CA"/>
        </w:rPr>
        <w:t xml:space="preserve"> Types 5 et 6)</w:t>
      </w:r>
      <w:r w:rsidRPr="00D750BB">
        <w:rPr>
          <w:lang w:val="fr-CA"/>
        </w:rPr>
        <w:t>.</w:t>
      </w:r>
    </w:p>
    <w:p w14:paraId="046EBCF3" w14:textId="012894C5" w:rsidR="00D750BB" w:rsidRDefault="00D750BB" w:rsidP="00786EF8">
      <w:pPr>
        <w:ind w:left="720"/>
        <w:rPr>
          <w:lang w:val="fr-CA"/>
        </w:rPr>
      </w:pPr>
      <w:r w:rsidRPr="00D750BB">
        <w:rPr>
          <w:lang w:val="fr-CA"/>
        </w:rPr>
        <w:t xml:space="preserve">Les types de données de recherche énumérés dans </w:t>
      </w:r>
      <w:r w:rsidRPr="00D750BB">
        <w:rPr>
          <w:b/>
          <w:bCs/>
          <w:lang w:val="fr-CA"/>
        </w:rPr>
        <w:t>[Partage obligatoire des données (articles spécifiques]</w:t>
      </w:r>
      <w:r w:rsidRPr="00D750BB">
        <w:rPr>
          <w:lang w:val="fr-CA"/>
        </w:rPr>
        <w:t xml:space="preserve"> ne doivent pas être téléchargés en tant que fichiers d'information supplémentaires.</w:t>
      </w:r>
      <w:r w:rsidR="00786EF8">
        <w:rPr>
          <w:lang w:val="fr-CA"/>
        </w:rPr>
        <w:t xml:space="preserve"> (</w:t>
      </w:r>
      <w:r w:rsidR="00786EF8" w:rsidRPr="00786EF8">
        <w:rPr>
          <w:b/>
          <w:bCs/>
          <w:lang w:val="fr-CA"/>
        </w:rPr>
        <w:t>Note :</w:t>
      </w:r>
      <w:r w:rsidR="00786EF8">
        <w:rPr>
          <w:lang w:val="fr-CA"/>
        </w:rPr>
        <w:t xml:space="preserve"> Type 4 seulement)</w:t>
      </w:r>
    </w:p>
    <w:p w14:paraId="0DFF0328" w14:textId="3FB1008B" w:rsidR="00D750BB" w:rsidRPr="00D750BB" w:rsidRDefault="00D750BB" w:rsidP="00D750BB">
      <w:pPr>
        <w:rPr>
          <w:lang w:val="fr-CA"/>
        </w:rPr>
      </w:pPr>
      <w:r w:rsidRPr="00D750BB">
        <w:rPr>
          <w:lang w:val="fr-CA"/>
        </w:rPr>
        <w:t>La revue demandera aux auteurs de les déposer dans un dépôt approuvé comme condition de publication.</w:t>
      </w:r>
    </w:p>
    <w:p w14:paraId="77893EE6" w14:textId="08433D71" w:rsidR="00D750BB" w:rsidRDefault="00D750BB" w:rsidP="00786EF8">
      <w:pPr>
        <w:pBdr>
          <w:bottom w:val="single" w:sz="4" w:space="1" w:color="auto"/>
        </w:pBdr>
        <w:rPr>
          <w:lang w:val="fr-CA"/>
        </w:rPr>
      </w:pPr>
    </w:p>
    <w:p w14:paraId="1698BC48" w14:textId="283E0142" w:rsidR="00786EF8" w:rsidRDefault="00786EF8" w:rsidP="00D750BB">
      <w:pPr>
        <w:rPr>
          <w:lang w:val="fr-CA"/>
        </w:rPr>
      </w:pPr>
    </w:p>
    <w:p w14:paraId="6DC3B9CE" w14:textId="77777777" w:rsidR="00515A91" w:rsidRPr="0042052B" w:rsidRDefault="00515A91" w:rsidP="00E3529E">
      <w:pPr>
        <w:shd w:val="clear" w:color="auto" w:fill="D9D9D9" w:themeFill="background1" w:themeFillShade="D9"/>
        <w:rPr>
          <w:b/>
          <w:bCs/>
          <w:lang w:val="fr-CA"/>
        </w:rPr>
      </w:pPr>
      <w:r w:rsidRPr="0042052B">
        <w:rPr>
          <w:b/>
          <w:bCs/>
          <w:lang w:val="fr-CA"/>
        </w:rPr>
        <w:t>Dépôts de données</w:t>
      </w:r>
    </w:p>
    <w:p w14:paraId="08BC16BD" w14:textId="77777777" w:rsidR="00515A91" w:rsidRDefault="00515A91" w:rsidP="00515A91">
      <w:pPr>
        <w:rPr>
          <w:lang w:val="fr-CA"/>
        </w:rPr>
      </w:pPr>
      <w:r w:rsidRPr="00C4026E">
        <w:rPr>
          <w:lang w:val="fr-CA"/>
        </w:rPr>
        <w:t>Établit la position sur l'utilisation des dépôts de données. Les dépôts de données sont le mécanisme privilégié pour le partage des données avec la communauté. Les dépôts disciplinaires sont préférés aux dépôts généraux, lorsqu'ils sont disponibles.</w:t>
      </w:r>
    </w:p>
    <w:p w14:paraId="32C110BA" w14:textId="77777777" w:rsidR="00515A91" w:rsidRDefault="00515A91" w:rsidP="00515A91">
      <w:pPr>
        <w:rPr>
          <w:lang w:val="fr-CA"/>
        </w:rPr>
      </w:pPr>
    </w:p>
    <w:p w14:paraId="33AB6EA9" w14:textId="77777777" w:rsidR="00515A91" w:rsidRDefault="00515A91" w:rsidP="00515A91">
      <w:pPr>
        <w:pBdr>
          <w:top w:val="single" w:sz="4" w:space="1" w:color="auto"/>
          <w:left w:val="single" w:sz="4" w:space="4" w:color="auto"/>
          <w:bottom w:val="single" w:sz="4" w:space="1" w:color="auto"/>
          <w:right w:val="single" w:sz="4" w:space="4" w:color="auto"/>
        </w:pBdr>
        <w:rPr>
          <w:lang w:val="fr-CA"/>
        </w:rPr>
      </w:pPr>
      <w:r>
        <w:rPr>
          <w:lang w:val="fr-CA"/>
        </w:rPr>
        <w:t>Texte de référence</w:t>
      </w:r>
    </w:p>
    <w:p w14:paraId="6DC305D5" w14:textId="70001A43" w:rsidR="00515A91" w:rsidRDefault="00515A91" w:rsidP="00515A91">
      <w:pPr>
        <w:rPr>
          <w:lang w:val="fr-CA"/>
        </w:rPr>
      </w:pPr>
    </w:p>
    <w:p w14:paraId="460A4898" w14:textId="3A2CC917" w:rsidR="00515A91" w:rsidRDefault="00515A91" w:rsidP="00515A91">
      <w:pPr>
        <w:rPr>
          <w:lang w:val="fr-CA"/>
        </w:rPr>
      </w:pPr>
      <w:r w:rsidRPr="00515A91">
        <w:rPr>
          <w:lang w:val="fr-CA"/>
        </w:rPr>
        <w:t>Le mécanisme privilégié pour le partage des données de recherche est celui des dépôts de données</w:t>
      </w:r>
      <w:r>
        <w:rPr>
          <w:lang w:val="fr-CA"/>
        </w:rPr>
        <w:t xml:space="preserve"> (</w:t>
      </w:r>
      <w:r w:rsidRPr="00515A91">
        <w:rPr>
          <w:b/>
          <w:bCs/>
          <w:lang w:val="fr-CA"/>
        </w:rPr>
        <w:t>Note :</w:t>
      </w:r>
      <w:r>
        <w:rPr>
          <w:lang w:val="fr-CA"/>
        </w:rPr>
        <w:t xml:space="preserve"> Type 4</w:t>
      </w:r>
      <w:proofErr w:type="gramStart"/>
      <w:r>
        <w:rPr>
          <w:lang w:val="fr-CA"/>
        </w:rPr>
        <w:t>)</w:t>
      </w:r>
      <w:r w:rsidRPr="00515A91">
        <w:rPr>
          <w:lang w:val="fr-CA"/>
        </w:rPr>
        <w:t>.</w:t>
      </w:r>
      <w:r>
        <w:rPr>
          <w:lang w:val="fr-CA"/>
        </w:rPr>
        <w:t>/</w:t>
      </w:r>
      <w:proofErr w:type="gramEnd"/>
      <w:r>
        <w:rPr>
          <w:lang w:val="fr-CA"/>
        </w:rPr>
        <w:t xml:space="preserve">/ </w:t>
      </w:r>
      <w:r w:rsidRPr="00515A91">
        <w:rPr>
          <w:lang w:val="fr-CA"/>
        </w:rPr>
        <w:t>Les données de recherche doivent être partagées sur un dépôt de données</w:t>
      </w:r>
      <w:r>
        <w:rPr>
          <w:lang w:val="fr-CA"/>
        </w:rPr>
        <w:t xml:space="preserve"> (</w:t>
      </w:r>
      <w:r w:rsidRPr="00515A91">
        <w:rPr>
          <w:b/>
          <w:bCs/>
          <w:lang w:val="fr-CA"/>
        </w:rPr>
        <w:t>Note :</w:t>
      </w:r>
      <w:r>
        <w:rPr>
          <w:lang w:val="fr-CA"/>
        </w:rPr>
        <w:t xml:space="preserve"> Type</w:t>
      </w:r>
      <w:r w:rsidR="00E945E8">
        <w:rPr>
          <w:lang w:val="fr-CA"/>
        </w:rPr>
        <w:t>s</w:t>
      </w:r>
      <w:r>
        <w:rPr>
          <w:lang w:val="fr-CA"/>
        </w:rPr>
        <w:t xml:space="preserve"> 5</w:t>
      </w:r>
      <w:r w:rsidR="00E945E8">
        <w:rPr>
          <w:lang w:val="fr-CA"/>
        </w:rPr>
        <w:t xml:space="preserve"> et 6</w:t>
      </w:r>
      <w:r>
        <w:rPr>
          <w:lang w:val="fr-CA"/>
        </w:rPr>
        <w:t>)</w:t>
      </w:r>
    </w:p>
    <w:p w14:paraId="1D589553" w14:textId="77777777" w:rsidR="00515A91" w:rsidRDefault="00515A91" w:rsidP="00515A91">
      <w:pPr>
        <w:rPr>
          <w:lang w:val="fr-CA"/>
        </w:rPr>
      </w:pPr>
      <w:r w:rsidRPr="00515A91">
        <w:rPr>
          <w:lang w:val="fr-CA"/>
        </w:rPr>
        <w:t xml:space="preserve">Veuillez consulter </w:t>
      </w:r>
      <w:r w:rsidRPr="00515A91">
        <w:rPr>
          <w:b/>
          <w:bCs/>
          <w:lang w:val="fr-CA"/>
        </w:rPr>
        <w:t>&lt;la liste des dépôts recommandés&gt;</w:t>
      </w:r>
      <w:r w:rsidRPr="00515A91">
        <w:rPr>
          <w:lang w:val="fr-CA"/>
        </w:rPr>
        <w:t xml:space="preserve"> ou </w:t>
      </w:r>
      <w:hyperlink r:id="rId17">
        <w:r w:rsidRPr="00515A91">
          <w:rPr>
            <w:color w:val="1155CC"/>
            <w:u w:val="single"/>
            <w:lang w:val="fr-CA"/>
          </w:rPr>
          <w:t>https://repositoryfinder.datacite.org/</w:t>
        </w:r>
      </w:hyperlink>
      <w:r w:rsidRPr="00515A91">
        <w:rPr>
          <w:lang w:val="fr-CA"/>
        </w:rPr>
        <w:t xml:space="preserve"> pour trouver des dépôts de données de recherche.</w:t>
      </w:r>
    </w:p>
    <w:p w14:paraId="7F25F7A8" w14:textId="5EE08D18" w:rsidR="00515A91" w:rsidRDefault="00515A91" w:rsidP="00515A91">
      <w:pPr>
        <w:ind w:left="720"/>
        <w:rPr>
          <w:lang w:val="fr-CA"/>
        </w:rPr>
      </w:pPr>
      <w:r w:rsidRPr="00515A91">
        <w:rPr>
          <w:lang w:val="fr-CA"/>
        </w:rPr>
        <w:t>Les types de données de recherche énumérés dans "Partage obligatoire des données (articles spécifiques)" doivent être téléchargés dans un dépôt approprié.</w:t>
      </w:r>
      <w:r>
        <w:rPr>
          <w:lang w:val="fr-CA"/>
        </w:rPr>
        <w:t xml:space="preserve"> (</w:t>
      </w:r>
      <w:r w:rsidRPr="00515A91">
        <w:rPr>
          <w:b/>
          <w:bCs/>
          <w:lang w:val="fr-CA"/>
        </w:rPr>
        <w:t>Note :</w:t>
      </w:r>
      <w:r>
        <w:rPr>
          <w:lang w:val="fr-CA"/>
        </w:rPr>
        <w:t xml:space="preserve"> Type 4 seulement)</w:t>
      </w:r>
    </w:p>
    <w:p w14:paraId="4EFC65B0" w14:textId="71429CD9" w:rsidR="00515A91" w:rsidRDefault="00515A91" w:rsidP="00515A91">
      <w:pPr>
        <w:rPr>
          <w:lang w:val="fr-CA"/>
        </w:rPr>
      </w:pPr>
      <w:r w:rsidRPr="00515A91">
        <w:rPr>
          <w:lang w:val="fr-CA"/>
        </w:rPr>
        <w:t>La revue demandera aux auteurs de les déposer dans un dépôt reconnu comme condition de publication.</w:t>
      </w:r>
    </w:p>
    <w:p w14:paraId="23881982" w14:textId="374760A0" w:rsidR="004E20DA" w:rsidRDefault="004E20DA" w:rsidP="004E20DA">
      <w:pPr>
        <w:pBdr>
          <w:bottom w:val="single" w:sz="4" w:space="1" w:color="auto"/>
        </w:pBdr>
        <w:rPr>
          <w:lang w:val="fr-CA"/>
        </w:rPr>
      </w:pPr>
    </w:p>
    <w:p w14:paraId="4852B024" w14:textId="0245BDBD" w:rsidR="004E20DA" w:rsidRDefault="004E20DA" w:rsidP="00515A91">
      <w:pPr>
        <w:rPr>
          <w:lang w:val="fr-CA"/>
        </w:rPr>
      </w:pPr>
    </w:p>
    <w:p w14:paraId="5A8907F8" w14:textId="77777777" w:rsidR="00E3529E" w:rsidRDefault="00E3529E" w:rsidP="00E3529E">
      <w:pPr>
        <w:rPr>
          <w:lang w:val="fr-CA"/>
        </w:rPr>
      </w:pPr>
      <w:r>
        <w:rPr>
          <w:lang w:val="fr-CA"/>
        </w:rPr>
        <w:t xml:space="preserve">La revue peut demander la création d’une collection Dataverse dans la plateforme institutionnelle des données de recherche de l’UQAM : </w:t>
      </w:r>
      <w:hyperlink r:id="rId18" w:history="1">
        <w:r w:rsidRPr="008B399B">
          <w:rPr>
            <w:rStyle w:val="Lienhypertexte"/>
            <w:lang w:val="fr-CA"/>
          </w:rPr>
          <w:t>https://dataverse.scholarsportal.info/dataverse/uqam</w:t>
        </w:r>
      </w:hyperlink>
      <w:r>
        <w:rPr>
          <w:lang w:val="fr-CA"/>
        </w:rPr>
        <w:t xml:space="preserve"> . Documentation : </w:t>
      </w:r>
      <w:hyperlink r:id="rId19" w:history="1">
        <w:r w:rsidRPr="008B399B">
          <w:rPr>
            <w:rStyle w:val="Lienhypertexte"/>
            <w:lang w:val="fr-CA"/>
          </w:rPr>
          <w:t>https://dataverse.org/journals</w:t>
        </w:r>
      </w:hyperlink>
      <w:r>
        <w:rPr>
          <w:lang w:val="fr-CA"/>
        </w:rPr>
        <w:t xml:space="preserve"> </w:t>
      </w:r>
    </w:p>
    <w:p w14:paraId="488CBF05" w14:textId="77777777" w:rsidR="00E3529E" w:rsidRPr="00515A91" w:rsidRDefault="00E3529E" w:rsidP="00515A91">
      <w:pPr>
        <w:rPr>
          <w:lang w:val="fr-CA"/>
        </w:rPr>
      </w:pPr>
    </w:p>
    <w:p w14:paraId="151CD3B1" w14:textId="77777777" w:rsidR="004E20DA" w:rsidRPr="00794B2F" w:rsidRDefault="004E20DA" w:rsidP="00E3529E">
      <w:pPr>
        <w:shd w:val="clear" w:color="auto" w:fill="D9D9D9" w:themeFill="background1" w:themeFillShade="D9"/>
        <w:rPr>
          <w:b/>
          <w:bCs/>
          <w:lang w:val="fr-CA"/>
        </w:rPr>
      </w:pPr>
      <w:r w:rsidRPr="00794B2F">
        <w:rPr>
          <w:b/>
          <w:bCs/>
          <w:lang w:val="fr-CA"/>
        </w:rPr>
        <w:t>Citation des données</w:t>
      </w:r>
    </w:p>
    <w:p w14:paraId="0DF1E61A" w14:textId="77777777" w:rsidR="004E20DA" w:rsidRDefault="004E20DA" w:rsidP="004E20DA">
      <w:pPr>
        <w:rPr>
          <w:lang w:val="fr-CA"/>
        </w:rPr>
      </w:pPr>
      <w:r w:rsidRPr="00794B2F">
        <w:rPr>
          <w:lang w:val="fr-CA"/>
        </w:rPr>
        <w:t>Déclaration sur le soutien de la revue au recours</w:t>
      </w:r>
      <w:r>
        <w:rPr>
          <w:lang w:val="fr-CA"/>
        </w:rPr>
        <w:t xml:space="preserve"> </w:t>
      </w:r>
      <w:r w:rsidRPr="00794B2F">
        <w:rPr>
          <w:lang w:val="fr-CA"/>
        </w:rPr>
        <w:t xml:space="preserve">d'identificateurs pérennes pour les données de recherche appuyant les publications, et déclaration de soutien au recours d'identifiants </w:t>
      </w:r>
      <w:r w:rsidRPr="00794B2F">
        <w:rPr>
          <w:lang w:val="fr-CA"/>
        </w:rPr>
        <w:lastRenderedPageBreak/>
        <w:t>pérennes pour les données à inclure dans la liste des références en tant que citations formelles. Indique si la citation des données est</w:t>
      </w:r>
      <w:r>
        <w:rPr>
          <w:lang w:val="fr-CA"/>
        </w:rPr>
        <w:t xml:space="preserve"> </w:t>
      </w:r>
      <w:r w:rsidRPr="00794B2F">
        <w:rPr>
          <w:lang w:val="fr-CA"/>
        </w:rPr>
        <w:t>encouragée ou requise.</w:t>
      </w:r>
    </w:p>
    <w:p w14:paraId="14151AC9" w14:textId="77777777" w:rsidR="004E20DA" w:rsidRDefault="004E20DA" w:rsidP="004E20DA">
      <w:pPr>
        <w:rPr>
          <w:lang w:val="fr-CA"/>
        </w:rPr>
      </w:pPr>
    </w:p>
    <w:p w14:paraId="08B1525C" w14:textId="77777777" w:rsidR="004E20DA" w:rsidRDefault="004E20DA" w:rsidP="004E20DA">
      <w:pPr>
        <w:pBdr>
          <w:top w:val="single" w:sz="4" w:space="1" w:color="auto"/>
          <w:left w:val="single" w:sz="4" w:space="4" w:color="auto"/>
          <w:bottom w:val="single" w:sz="4" w:space="1" w:color="auto"/>
          <w:right w:val="single" w:sz="4" w:space="4" w:color="auto"/>
        </w:pBdr>
        <w:rPr>
          <w:lang w:val="fr-CA"/>
        </w:rPr>
      </w:pPr>
      <w:r>
        <w:rPr>
          <w:lang w:val="fr-CA"/>
        </w:rPr>
        <w:t>Texte de référence</w:t>
      </w:r>
    </w:p>
    <w:p w14:paraId="570CFF3E" w14:textId="2DFFB59D" w:rsidR="004E20DA" w:rsidRDefault="004E20DA" w:rsidP="004E20DA">
      <w:pPr>
        <w:rPr>
          <w:lang w:val="fr-CA"/>
        </w:rPr>
      </w:pPr>
      <w:r w:rsidRPr="004E20DA">
        <w:rPr>
          <w:lang w:val="fr-CA"/>
        </w:rPr>
        <w:t>La revue encourage les auteurs à citer toute donnée de recherche publiquement disponible dans leur liste de références.</w:t>
      </w:r>
      <w:r>
        <w:rPr>
          <w:lang w:val="fr-CA"/>
        </w:rPr>
        <w:t xml:space="preserve"> (</w:t>
      </w:r>
      <w:r w:rsidRPr="004E20DA">
        <w:rPr>
          <w:b/>
          <w:bCs/>
          <w:lang w:val="fr-CA"/>
        </w:rPr>
        <w:t>Note :</w:t>
      </w:r>
      <w:r>
        <w:rPr>
          <w:lang w:val="fr-CA"/>
        </w:rPr>
        <w:t xml:space="preserve"> Type 4)</w:t>
      </w:r>
    </w:p>
    <w:p w14:paraId="7025933C" w14:textId="689F2151" w:rsidR="004E20DA" w:rsidRDefault="004E20DA" w:rsidP="004E20DA">
      <w:pPr>
        <w:rPr>
          <w:lang w:val="fr-CA"/>
        </w:rPr>
      </w:pPr>
      <w:r w:rsidRPr="004E20DA">
        <w:rPr>
          <w:lang w:val="fr-CA"/>
        </w:rPr>
        <w:t>La revue exige comme condition de publication que les auteurs citent toutes les données de recherche accessibles au public dans leur liste de références.</w:t>
      </w:r>
      <w:r>
        <w:rPr>
          <w:lang w:val="fr-CA"/>
        </w:rPr>
        <w:t xml:space="preserve"> (</w:t>
      </w:r>
      <w:r w:rsidRPr="004E20DA">
        <w:rPr>
          <w:b/>
          <w:bCs/>
          <w:lang w:val="fr-CA"/>
        </w:rPr>
        <w:t>Note :</w:t>
      </w:r>
      <w:r>
        <w:rPr>
          <w:lang w:val="fr-CA"/>
        </w:rPr>
        <w:t xml:space="preserve"> Types 5 et 6)</w:t>
      </w:r>
    </w:p>
    <w:p w14:paraId="02DB8C1B" w14:textId="28A8D5FA" w:rsidR="00515A91" w:rsidRPr="004E20DA" w:rsidRDefault="004E20DA" w:rsidP="004E20DA">
      <w:pPr>
        <w:rPr>
          <w:lang w:val="fr-CA"/>
        </w:rPr>
      </w:pPr>
      <w:r w:rsidRPr="004E20DA">
        <w:rPr>
          <w:lang w:val="fr-CA"/>
        </w:rPr>
        <w:t xml:space="preserve">Les références aux ensembles de données (citations de données) doivent inclure un identifiant pérenne (tel qu'un DOI). Les citations d'ensembles de données, lorsqu'elles apparaissent dans la liste de références, doivent inclure les </w:t>
      </w:r>
      <w:hyperlink r:id="rId20" w:history="1">
        <w:r w:rsidRPr="004E20DA">
          <w:rPr>
            <w:rStyle w:val="Lienhypertexte"/>
            <w:lang w:val="fr-CA"/>
          </w:rPr>
          <w:t xml:space="preserve">informations minimales recommandées par </w:t>
        </w:r>
        <w:proofErr w:type="spellStart"/>
        <w:r w:rsidRPr="004E20DA">
          <w:rPr>
            <w:rStyle w:val="Lienhypertexte"/>
            <w:lang w:val="fr-CA"/>
          </w:rPr>
          <w:t>DataCite</w:t>
        </w:r>
        <w:proofErr w:type="spellEnd"/>
      </w:hyperlink>
      <w:r w:rsidRPr="004E20DA">
        <w:rPr>
          <w:lang w:val="fr-CA"/>
        </w:rPr>
        <w:t xml:space="preserve"> et respecter le style de la revue.</w:t>
      </w:r>
    </w:p>
    <w:p w14:paraId="51439313" w14:textId="6E391788" w:rsidR="004E20DA" w:rsidRDefault="004E20DA" w:rsidP="00515A91">
      <w:pPr>
        <w:rPr>
          <w:lang w:val="fr-CA"/>
        </w:rPr>
      </w:pPr>
    </w:p>
    <w:p w14:paraId="410765AB" w14:textId="77777777" w:rsidR="00D81F49" w:rsidRDefault="00D81F49" w:rsidP="00E3529E">
      <w:pPr>
        <w:shd w:val="clear" w:color="auto" w:fill="D9D9D9" w:themeFill="background1" w:themeFillShade="D9"/>
        <w:rPr>
          <w:lang w:val="fr-CA"/>
        </w:rPr>
      </w:pPr>
      <w:r w:rsidRPr="00794B2F">
        <w:rPr>
          <w:b/>
          <w:bCs/>
          <w:lang w:val="fr-CA"/>
        </w:rPr>
        <w:t>Déclaration d’accessibilité des données</w:t>
      </w:r>
    </w:p>
    <w:p w14:paraId="0D4493C2" w14:textId="77777777" w:rsidR="00D81F49" w:rsidRDefault="00D81F49" w:rsidP="00D81F49">
      <w:pPr>
        <w:rPr>
          <w:lang w:val="fr-CA"/>
        </w:rPr>
      </w:pPr>
      <w:r w:rsidRPr="00794B2F">
        <w:rPr>
          <w:lang w:val="fr-CA"/>
        </w:rPr>
        <w:t>Définit la position de la revue sur la présence de déclarations d'accessibilité des données dans la publication.</w:t>
      </w:r>
    </w:p>
    <w:p w14:paraId="1AE53652" w14:textId="77777777" w:rsidR="00D81F49" w:rsidRDefault="00D81F49" w:rsidP="00D81F49">
      <w:pPr>
        <w:rPr>
          <w:lang w:val="fr-CA"/>
        </w:rPr>
      </w:pPr>
    </w:p>
    <w:p w14:paraId="6661AE25" w14:textId="77777777" w:rsidR="00D81F49" w:rsidRDefault="00D81F49" w:rsidP="00D81F49">
      <w:pPr>
        <w:pBdr>
          <w:top w:val="single" w:sz="4" w:space="1" w:color="auto"/>
          <w:left w:val="single" w:sz="4" w:space="4" w:color="auto"/>
          <w:bottom w:val="single" w:sz="4" w:space="1" w:color="auto"/>
          <w:right w:val="single" w:sz="4" w:space="4" w:color="auto"/>
        </w:pBdr>
        <w:rPr>
          <w:lang w:val="fr-CA"/>
        </w:rPr>
      </w:pPr>
      <w:r>
        <w:rPr>
          <w:lang w:val="fr-CA"/>
        </w:rPr>
        <w:t>Texte de référence proposé</w:t>
      </w:r>
    </w:p>
    <w:p w14:paraId="07CB96FB" w14:textId="5CD4B513" w:rsidR="00CA41F9" w:rsidRPr="00F66A3F" w:rsidRDefault="00CA41F9" w:rsidP="00F66A3F">
      <w:pPr>
        <w:ind w:left="100"/>
        <w:jc w:val="both"/>
        <w:rPr>
          <w:lang w:val="fr-CA"/>
        </w:rPr>
      </w:pPr>
      <w:r w:rsidRPr="00F66A3F">
        <w:rPr>
          <w:lang w:val="fr-CA"/>
        </w:rPr>
        <w:t>La revue exige que les auteurs incluent une déclaration d'accessibilité des données dans tous les articles qui rapportent des résultats dérivés de données de recherche. La présence d'une déclaration d'accessibilité des données conforme avec la politique de données de recherche de la revue sera vérifiée comme condition de publication. Les déclarations d'accessibilité des données doivent inclure des informations sur l'endroit où les données étayant les résultats rapportés dans l'article peuvent être trouvées, y compris, le cas échéant, des hyperliens vers des ensembles de données analysés ou générés pendant l'étude et archivés publiquement.</w:t>
      </w:r>
    </w:p>
    <w:p w14:paraId="67337DA1" w14:textId="77777777" w:rsidR="00CA41F9" w:rsidRPr="00F66A3F" w:rsidRDefault="00CA41F9" w:rsidP="00F66A3F">
      <w:pPr>
        <w:ind w:left="100"/>
        <w:jc w:val="both"/>
        <w:rPr>
          <w:lang w:val="fr-CA"/>
        </w:rPr>
      </w:pPr>
    </w:p>
    <w:p w14:paraId="602789D8" w14:textId="028F6696" w:rsidR="00CA41F9" w:rsidRPr="00F66A3F" w:rsidRDefault="00CA41F9" w:rsidP="00F66A3F">
      <w:pPr>
        <w:ind w:left="100"/>
        <w:jc w:val="both"/>
        <w:rPr>
          <w:lang w:val="fr-CA"/>
        </w:rPr>
      </w:pPr>
      <w:r w:rsidRPr="00F66A3F">
        <w:rPr>
          <w:lang w:val="fr-CA"/>
        </w:rPr>
        <w:t>Lorsque les données de recherche ne sont pas accessibles au public, cela doit être indiqué dans le manuscrit, accompagné des conditions d'accès aux données. (Note : Politique type 4) // Lorsque les données de recherche ne sont pas accessibles au public, il convient de fournir un lien pérenne vers une fiche de métadonnées ou une page de renvoi pour les données. Toute condition d'accès aux données doit être indiquée dans le manuscrit. (</w:t>
      </w:r>
      <w:r w:rsidRPr="00F66A3F">
        <w:rPr>
          <w:b/>
          <w:bCs/>
          <w:lang w:val="fr-CA"/>
        </w:rPr>
        <w:t>Note :</w:t>
      </w:r>
      <w:r w:rsidRPr="00F66A3F">
        <w:rPr>
          <w:lang w:val="fr-CA"/>
        </w:rPr>
        <w:t xml:space="preserve"> Politique</w:t>
      </w:r>
      <w:r w:rsidR="00F66A3F" w:rsidRPr="00F66A3F">
        <w:rPr>
          <w:lang w:val="fr-CA"/>
        </w:rPr>
        <w:t>s</w:t>
      </w:r>
      <w:r w:rsidRPr="00F66A3F">
        <w:rPr>
          <w:lang w:val="fr-CA"/>
        </w:rPr>
        <w:t xml:space="preserve"> type 5</w:t>
      </w:r>
      <w:r w:rsidR="00F66A3F" w:rsidRPr="00F66A3F">
        <w:rPr>
          <w:lang w:val="fr-CA"/>
        </w:rPr>
        <w:t xml:space="preserve"> et 6</w:t>
      </w:r>
      <w:r w:rsidRPr="00F66A3F">
        <w:rPr>
          <w:lang w:val="fr-CA"/>
        </w:rPr>
        <w:t>)</w:t>
      </w:r>
    </w:p>
    <w:p w14:paraId="746B8B87" w14:textId="77777777" w:rsidR="00CA41F9" w:rsidRPr="00F66A3F" w:rsidRDefault="00CA41F9" w:rsidP="00F66A3F">
      <w:pPr>
        <w:ind w:left="100"/>
        <w:jc w:val="both"/>
        <w:rPr>
          <w:lang w:val="fr-CA"/>
        </w:rPr>
      </w:pPr>
    </w:p>
    <w:p w14:paraId="6003E0F2" w14:textId="552480BC" w:rsidR="00CA41F9" w:rsidRPr="00F66A3F" w:rsidRDefault="00CA41F9" w:rsidP="00F66A3F">
      <w:pPr>
        <w:ind w:left="100"/>
        <w:jc w:val="both"/>
        <w:rPr>
          <w:lang w:val="fr-CA"/>
        </w:rPr>
      </w:pPr>
      <w:r w:rsidRPr="00F66A3F">
        <w:rPr>
          <w:lang w:val="fr-CA"/>
        </w:rPr>
        <w:t>Les déclarations d'accessibilité des données doivent prendre l'une des formes suivantes (ou une combinaison de plusieurs formes si nécessaire pour plusieurs types de données de recherche) :</w:t>
      </w:r>
    </w:p>
    <w:p w14:paraId="0FD99A02" w14:textId="77777777" w:rsidR="00CA41F9" w:rsidRPr="00F66A3F" w:rsidRDefault="00CA41F9" w:rsidP="00F66A3F">
      <w:pPr>
        <w:jc w:val="both"/>
        <w:rPr>
          <w:rFonts w:ascii="Times New Roman" w:eastAsia="Times New Roman" w:hAnsi="Times New Roman" w:cs="Times New Roman"/>
          <w:lang w:val="fr-CA"/>
        </w:rPr>
      </w:pPr>
      <w:r w:rsidRPr="00F66A3F">
        <w:rPr>
          <w:rFonts w:ascii="Times New Roman" w:eastAsia="Times New Roman" w:hAnsi="Times New Roman" w:cs="Times New Roman"/>
          <w:lang w:val="fr-CA"/>
        </w:rPr>
        <w:t xml:space="preserve"> </w:t>
      </w:r>
    </w:p>
    <w:p w14:paraId="0180C8B4" w14:textId="77777777" w:rsidR="00CA41F9" w:rsidRPr="00F66A3F" w:rsidRDefault="00CA41F9" w:rsidP="00F66A3F">
      <w:pPr>
        <w:ind w:left="720"/>
        <w:jc w:val="both"/>
        <w:rPr>
          <w:lang w:val="fr-CA"/>
        </w:rPr>
      </w:pPr>
      <w:r w:rsidRPr="00F66A3F">
        <w:rPr>
          <w:lang w:val="fr-CA"/>
        </w:rPr>
        <w:t>Les ensembles de données générés ou analysés au cours de la présente étude sont accessibles dans le dépôt [NOM], [LIEN WEB PÉRENNE VERS LES ENSEMBLES DE DONNÉES].</w:t>
      </w:r>
    </w:p>
    <w:p w14:paraId="541E6EC1" w14:textId="77777777" w:rsidR="00CA41F9" w:rsidRPr="00F66A3F" w:rsidRDefault="00CA41F9" w:rsidP="00F66A3F">
      <w:pPr>
        <w:ind w:left="720"/>
        <w:jc w:val="both"/>
        <w:rPr>
          <w:lang w:val="fr-CA"/>
        </w:rPr>
      </w:pPr>
    </w:p>
    <w:p w14:paraId="07578B86" w14:textId="2E48C9F1" w:rsidR="00CA41F9" w:rsidRPr="00F66A3F" w:rsidRDefault="00CA41F9" w:rsidP="00F66A3F">
      <w:pPr>
        <w:ind w:left="720"/>
        <w:jc w:val="both"/>
        <w:rPr>
          <w:lang w:val="fr-CA"/>
        </w:rPr>
      </w:pPr>
      <w:r w:rsidRPr="00F66A3F">
        <w:rPr>
          <w:lang w:val="fr-CA"/>
        </w:rPr>
        <w:t>Les ensembles de données générés ou analysés au cours de la présente étude ne sont pas accessibles au public en raison de [RAISON POUR LAQUELLE LES DONNÉES NE SONT PAS PUBLIQUES] mais sont disponibles auprès de l'auteur correspondant sur demande raisonnable (</w:t>
      </w:r>
      <w:r w:rsidRPr="00F66A3F">
        <w:rPr>
          <w:b/>
          <w:bCs/>
          <w:lang w:val="fr-CA"/>
        </w:rPr>
        <w:t>Note :</w:t>
      </w:r>
      <w:r w:rsidRPr="00F66A3F">
        <w:rPr>
          <w:lang w:val="fr-CA"/>
        </w:rPr>
        <w:t xml:space="preserve"> Politique type 4) // Les ensembles de données générés ou </w:t>
      </w:r>
      <w:r w:rsidRPr="00F66A3F">
        <w:rPr>
          <w:lang w:val="fr-CA"/>
        </w:rPr>
        <w:lastRenderedPageBreak/>
        <w:t>analysés au cours de la présente étude ne sont pas accessibles au public parce que [RAISON POUR LAQUELLE LES DONNÉES NE SONT PAS PUBLIQUES] mais sont disponibles [CONDITIONS D'OBTENTION DE L'ACCÈS]. (</w:t>
      </w:r>
      <w:r w:rsidRPr="00F66A3F">
        <w:rPr>
          <w:b/>
          <w:bCs/>
          <w:lang w:val="fr-CA"/>
        </w:rPr>
        <w:t>Note :</w:t>
      </w:r>
      <w:r w:rsidRPr="00F66A3F">
        <w:rPr>
          <w:lang w:val="fr-CA"/>
        </w:rPr>
        <w:t xml:space="preserve"> Politique type 5)</w:t>
      </w:r>
      <w:r w:rsidR="00F66A3F" w:rsidRPr="00F66A3F">
        <w:rPr>
          <w:lang w:val="fr-CA"/>
        </w:rPr>
        <w:t xml:space="preserve"> // Les ensembles de données générés ou analysés au cours de la présente étude ne sont pas accessibles au public pour la raison suivante : [RAISON POUR LAQUELLE LES DONNÉES NE SONT PAS PUBLIQUES]. Les métadonnées sont disponibles à l'adresse [LIEN WEB PÉRENNE] et les données sont disponibles dans les conditions suivantes : [CONDITIONS D'OBTENTION DE L'ACCÈS] (</w:t>
      </w:r>
      <w:r w:rsidR="00F66A3F" w:rsidRPr="00F66A3F">
        <w:rPr>
          <w:b/>
          <w:bCs/>
          <w:lang w:val="fr-CA"/>
        </w:rPr>
        <w:t>Note :</w:t>
      </w:r>
      <w:r w:rsidR="00F66A3F" w:rsidRPr="00F66A3F">
        <w:rPr>
          <w:lang w:val="fr-CA"/>
        </w:rPr>
        <w:t xml:space="preserve"> Politique type 6)</w:t>
      </w:r>
    </w:p>
    <w:p w14:paraId="6D8820E4" w14:textId="6494065B" w:rsidR="00CA41F9" w:rsidRPr="00F66A3F" w:rsidRDefault="00CA41F9" w:rsidP="00F66A3F">
      <w:pPr>
        <w:ind w:left="720"/>
        <w:jc w:val="both"/>
        <w:rPr>
          <w:lang w:val="fr-CA"/>
        </w:rPr>
      </w:pPr>
    </w:p>
    <w:p w14:paraId="1E473AEF" w14:textId="77777777" w:rsidR="00F66A3F" w:rsidRPr="00F66A3F" w:rsidRDefault="00F66A3F" w:rsidP="00F66A3F">
      <w:pPr>
        <w:ind w:left="720"/>
        <w:jc w:val="both"/>
        <w:rPr>
          <w:lang w:val="fr-CA"/>
        </w:rPr>
      </w:pPr>
      <w:r w:rsidRPr="00F66A3F">
        <w:rPr>
          <w:lang w:val="fr-CA"/>
        </w:rPr>
        <w:t>Le partage des données ne s'applique pas à cet article car aucun ensemble de données n'a été généré ou analysé au cours de l'étude.</w:t>
      </w:r>
    </w:p>
    <w:p w14:paraId="1DC4B457" w14:textId="77777777" w:rsidR="00F66A3F" w:rsidRPr="00F66A3F" w:rsidRDefault="00F66A3F" w:rsidP="00F66A3F">
      <w:pPr>
        <w:ind w:left="720"/>
        <w:jc w:val="both"/>
        <w:rPr>
          <w:lang w:val="fr-CA"/>
        </w:rPr>
      </w:pPr>
    </w:p>
    <w:p w14:paraId="3CF2AA02" w14:textId="77777777" w:rsidR="00CA41F9" w:rsidRPr="00F66A3F" w:rsidRDefault="00CA41F9" w:rsidP="00F66A3F">
      <w:pPr>
        <w:ind w:left="720"/>
        <w:jc w:val="both"/>
        <w:rPr>
          <w:lang w:val="fr-CA"/>
        </w:rPr>
      </w:pPr>
      <w:r w:rsidRPr="00F66A3F">
        <w:rPr>
          <w:lang w:val="fr-CA"/>
        </w:rPr>
        <w:t>Les ensembles de données générés ou analysés au cours de la présente étude sont disponibles auprès de l'auteur correspondant sur demande raisonnable. (</w:t>
      </w:r>
      <w:r w:rsidRPr="00F66A3F">
        <w:rPr>
          <w:b/>
          <w:bCs/>
          <w:lang w:val="fr-CA"/>
        </w:rPr>
        <w:t>Note :</w:t>
      </w:r>
      <w:r w:rsidRPr="00F66A3F">
        <w:rPr>
          <w:lang w:val="fr-CA"/>
        </w:rPr>
        <w:t xml:space="preserve"> Politique type 4 seulement)</w:t>
      </w:r>
    </w:p>
    <w:p w14:paraId="72A57433" w14:textId="77777777" w:rsidR="00F66A3F" w:rsidRPr="00F66A3F" w:rsidRDefault="00F66A3F" w:rsidP="00F66A3F">
      <w:pPr>
        <w:jc w:val="both"/>
        <w:rPr>
          <w:lang w:val="fr-CA"/>
        </w:rPr>
      </w:pPr>
    </w:p>
    <w:p w14:paraId="03FB2360" w14:textId="77777777" w:rsidR="00F66A3F" w:rsidRPr="00F66A3F" w:rsidRDefault="00CA41F9" w:rsidP="00F66A3F">
      <w:pPr>
        <w:ind w:left="720"/>
        <w:jc w:val="both"/>
        <w:rPr>
          <w:lang w:val="fr-CA"/>
        </w:rPr>
      </w:pPr>
      <w:r w:rsidRPr="00F66A3F">
        <w:rPr>
          <w:lang w:val="fr-CA"/>
        </w:rPr>
        <w:t>Toutes les données générées ou analysées au cours de cette étude sont incluses dans cet article publié [et ses fichiers d'informations supplémentaires]. (</w:t>
      </w:r>
      <w:r w:rsidRPr="00F66A3F">
        <w:rPr>
          <w:b/>
          <w:bCs/>
          <w:lang w:val="fr-CA"/>
        </w:rPr>
        <w:t>Note :</w:t>
      </w:r>
      <w:r w:rsidRPr="00F66A3F">
        <w:rPr>
          <w:lang w:val="fr-CA"/>
        </w:rPr>
        <w:t xml:space="preserve"> Politique type 4 seulement)</w:t>
      </w:r>
    </w:p>
    <w:p w14:paraId="1CAE44BA" w14:textId="77777777" w:rsidR="00F66A3F" w:rsidRPr="00F66A3F" w:rsidRDefault="00F66A3F" w:rsidP="00F66A3F">
      <w:pPr>
        <w:ind w:left="720"/>
        <w:jc w:val="both"/>
        <w:rPr>
          <w:lang w:val="fr-CA"/>
        </w:rPr>
      </w:pPr>
    </w:p>
    <w:p w14:paraId="1644326A" w14:textId="08A1763F" w:rsidR="00F66A3F" w:rsidRPr="00F66A3F" w:rsidRDefault="00CA41F9" w:rsidP="00F66A3F">
      <w:pPr>
        <w:ind w:left="720"/>
        <w:jc w:val="both"/>
        <w:rPr>
          <w:lang w:val="fr-CA"/>
        </w:rPr>
      </w:pPr>
      <w:r w:rsidRPr="00F66A3F">
        <w:rPr>
          <w:lang w:val="fr-CA"/>
        </w:rPr>
        <w:t>Les données qui étayent les résultats de cette étude sont disponibles auprès de [nom du tiers] mais des restrictions s'appliquent à l'accès à ces données, qui ont été utilisées sous licence pour l'étude actuelle, et ne sont donc pas accessibles au public. Les données sont toutefois disponibles auprès des auteurs sur demande raisonnable et avec l'autorisation de [nom du tiers].</w:t>
      </w:r>
      <w:r w:rsidR="00F66A3F" w:rsidRPr="00F66A3F">
        <w:rPr>
          <w:lang w:val="fr-CA"/>
        </w:rPr>
        <w:t xml:space="preserve"> (</w:t>
      </w:r>
      <w:r w:rsidR="00F66A3F" w:rsidRPr="00F66A3F">
        <w:rPr>
          <w:b/>
          <w:bCs/>
          <w:lang w:val="fr-CA"/>
        </w:rPr>
        <w:t>Note :</w:t>
      </w:r>
      <w:r w:rsidR="00F66A3F" w:rsidRPr="00F66A3F">
        <w:rPr>
          <w:lang w:val="fr-CA"/>
        </w:rPr>
        <w:t xml:space="preserve"> Politique type 4 seulement)</w:t>
      </w:r>
    </w:p>
    <w:p w14:paraId="3213E469" w14:textId="354215EB" w:rsidR="00CA41F9" w:rsidRPr="00F66A3F" w:rsidRDefault="00CA41F9" w:rsidP="00F66A3F">
      <w:pPr>
        <w:jc w:val="both"/>
        <w:rPr>
          <w:rFonts w:ascii="Times New Roman" w:eastAsia="Times New Roman" w:hAnsi="Times New Roman" w:cs="Times New Roman"/>
          <w:lang w:val="fr-CA"/>
        </w:rPr>
      </w:pPr>
    </w:p>
    <w:p w14:paraId="1F48B6D7" w14:textId="402E4FC2" w:rsidR="00D81F49" w:rsidRPr="00F66A3F" w:rsidRDefault="00CA41F9" w:rsidP="00F66A3F">
      <w:pPr>
        <w:jc w:val="both"/>
        <w:rPr>
          <w:lang w:val="fr-CA"/>
        </w:rPr>
      </w:pPr>
      <w:r w:rsidRPr="00F66A3F">
        <w:rPr>
          <w:lang w:val="fr-CA"/>
        </w:rPr>
        <w:t>D'autres exemples de modèles de déclarations d'accessibilité des données comprenant des exemples d'ensembles de données à accès libre et à accès restreint, sont disponibles à l'adresse suivante : &lt;</w:t>
      </w:r>
      <w:proofErr w:type="spellStart"/>
      <w:r w:rsidRPr="00F66A3F">
        <w:rPr>
          <w:b/>
          <w:bCs/>
          <w:lang w:val="fr-CA"/>
        </w:rPr>
        <w:t>link</w:t>
      </w:r>
      <w:proofErr w:type="spellEnd"/>
      <w:r w:rsidRPr="00F66A3F">
        <w:rPr>
          <w:lang w:val="fr-CA"/>
        </w:rPr>
        <w:t>&gt;.</w:t>
      </w:r>
    </w:p>
    <w:p w14:paraId="326BB585" w14:textId="486FDF29" w:rsidR="00D81F49" w:rsidRDefault="00D81F49" w:rsidP="00FF32BD">
      <w:pPr>
        <w:pBdr>
          <w:bottom w:val="single" w:sz="4" w:space="1" w:color="auto"/>
        </w:pBdr>
        <w:jc w:val="both"/>
        <w:rPr>
          <w:lang w:val="fr-CA"/>
        </w:rPr>
      </w:pPr>
    </w:p>
    <w:p w14:paraId="06D112F9" w14:textId="77777777" w:rsidR="00FF32BD" w:rsidRPr="00F66A3F" w:rsidRDefault="00FF32BD" w:rsidP="00F66A3F">
      <w:pPr>
        <w:jc w:val="both"/>
        <w:rPr>
          <w:lang w:val="fr-CA"/>
        </w:rPr>
      </w:pPr>
    </w:p>
    <w:p w14:paraId="1AD95D16" w14:textId="4AC13E02" w:rsidR="00F66A3F" w:rsidRPr="00F66A3F" w:rsidRDefault="00F66A3F" w:rsidP="00E3529E">
      <w:pPr>
        <w:shd w:val="clear" w:color="auto" w:fill="D9D9D9" w:themeFill="background1" w:themeFillShade="D9"/>
        <w:jc w:val="both"/>
        <w:rPr>
          <w:lang w:val="fr-CA"/>
        </w:rPr>
      </w:pPr>
      <w:r w:rsidRPr="00F66A3F">
        <w:rPr>
          <w:b/>
          <w:lang w:val="fr-CA"/>
        </w:rPr>
        <w:t>Formats et standards de données</w:t>
      </w:r>
    </w:p>
    <w:p w14:paraId="47E1BE92" w14:textId="66B40E66" w:rsidR="00F66A3F" w:rsidRDefault="00F66A3F" w:rsidP="00F66A3F">
      <w:pPr>
        <w:jc w:val="both"/>
        <w:rPr>
          <w:lang w:val="fr-CA"/>
        </w:rPr>
      </w:pPr>
      <w:r w:rsidRPr="00F66A3F">
        <w:rPr>
          <w:lang w:val="fr-CA"/>
        </w:rPr>
        <w:t>Établit la position de la revue sur l'utilisation de normes de données spécifiques à une communauté ou discipline, cette utilisation pouvant être encouragée, requise dans certains cas ou requise dans tous les cas. Indique également si certains formats de fichiers, tels que les formats ouverts, sont préférés ou requis.</w:t>
      </w:r>
    </w:p>
    <w:p w14:paraId="24995FA2" w14:textId="2AF69801" w:rsidR="00F66A3F" w:rsidRDefault="00F66A3F" w:rsidP="00F66A3F">
      <w:pPr>
        <w:jc w:val="both"/>
        <w:rPr>
          <w:lang w:val="fr-CA"/>
        </w:rPr>
      </w:pPr>
    </w:p>
    <w:p w14:paraId="51322326" w14:textId="0C94596C" w:rsidR="00F66A3F" w:rsidRDefault="00F66A3F" w:rsidP="00FF32BD">
      <w:pPr>
        <w:pBdr>
          <w:top w:val="single" w:sz="4" w:space="1" w:color="auto"/>
          <w:left w:val="single" w:sz="4" w:space="4" w:color="auto"/>
          <w:bottom w:val="single" w:sz="4" w:space="1" w:color="auto"/>
          <w:right w:val="single" w:sz="4" w:space="4" w:color="auto"/>
        </w:pBdr>
        <w:jc w:val="both"/>
        <w:rPr>
          <w:lang w:val="fr-CA"/>
        </w:rPr>
      </w:pPr>
      <w:r>
        <w:rPr>
          <w:lang w:val="fr-CA"/>
        </w:rPr>
        <w:t>Texte de référence proposé</w:t>
      </w:r>
    </w:p>
    <w:p w14:paraId="33CECAC2" w14:textId="588A33E7" w:rsidR="00FF32BD" w:rsidRPr="00FF32BD" w:rsidRDefault="00FF32BD" w:rsidP="00FF32BD">
      <w:pPr>
        <w:rPr>
          <w:lang w:val="fr-CA"/>
        </w:rPr>
      </w:pPr>
      <w:r w:rsidRPr="00FF32BD">
        <w:rPr>
          <w:lang w:val="fr-CA"/>
        </w:rPr>
        <w:t xml:space="preserve">La revue encourage les auteurs à partager les données de Veuillez consulter le site </w:t>
      </w:r>
      <w:hyperlink r:id="rId21" w:history="1">
        <w:r w:rsidRPr="00FF32BD">
          <w:rPr>
            <w:rStyle w:val="Lienhypertexte"/>
            <w:lang w:val="fr-CA"/>
          </w:rPr>
          <w:t>FAIRsharing.org</w:t>
        </w:r>
      </w:hyperlink>
      <w:r w:rsidRPr="00FF32BD">
        <w:rPr>
          <w:lang w:val="fr-CA"/>
        </w:rPr>
        <w:t xml:space="preserve"> pour plus d'informations sur les formats et les normes de partage de données </w:t>
      </w:r>
      <w:proofErr w:type="spellStart"/>
      <w:proofErr w:type="gramStart"/>
      <w:r w:rsidRPr="00FF32BD">
        <w:rPr>
          <w:lang w:val="fr-CA"/>
        </w:rPr>
        <w:t>établis.recherche</w:t>
      </w:r>
      <w:proofErr w:type="spellEnd"/>
      <w:proofErr w:type="gramEnd"/>
      <w:r w:rsidRPr="00FF32BD">
        <w:rPr>
          <w:lang w:val="fr-CA"/>
        </w:rPr>
        <w:t xml:space="preserve"> en utilisant des formats et des normes de données et de métadonnées reconnus par leur communauté de recherche. </w:t>
      </w:r>
    </w:p>
    <w:p w14:paraId="0CC72CA6" w14:textId="1F45433B" w:rsidR="00F66A3F" w:rsidRPr="00FF32BD" w:rsidRDefault="00FF32BD" w:rsidP="00FF32BD">
      <w:pPr>
        <w:jc w:val="both"/>
        <w:rPr>
          <w:lang w:val="fr-CA"/>
        </w:rPr>
      </w:pPr>
      <w:r w:rsidRPr="00FF32BD">
        <w:rPr>
          <w:lang w:val="fr-CA"/>
        </w:rPr>
        <w:t xml:space="preserve">La revue préfère que les données de recherche soient partagées dans des formats de fichier ouverts - ceux qui ne nécessitent pas de logiciel propriétaire pour y accéder - lorsque cela est </w:t>
      </w:r>
      <w:r w:rsidRPr="00FF32BD">
        <w:rPr>
          <w:lang w:val="fr-CA"/>
        </w:rPr>
        <w:lastRenderedPageBreak/>
        <w:t>possible. Par exemple, les données tabulaires doivent être partagées sous forme de fichiers CSV plutôt que de fichiers XLS</w:t>
      </w:r>
    </w:p>
    <w:p w14:paraId="0BD6ED7D" w14:textId="1FC8BC9C" w:rsidR="00F66A3F" w:rsidRDefault="00F66A3F" w:rsidP="00FF32BD">
      <w:pPr>
        <w:pBdr>
          <w:bottom w:val="single" w:sz="4" w:space="1" w:color="auto"/>
        </w:pBdr>
        <w:jc w:val="both"/>
        <w:rPr>
          <w:lang w:val="fr-CA"/>
        </w:rPr>
      </w:pPr>
    </w:p>
    <w:p w14:paraId="72F87713" w14:textId="40FCFBE7" w:rsidR="00FF32BD" w:rsidRDefault="00FF32BD" w:rsidP="00F66A3F">
      <w:pPr>
        <w:jc w:val="both"/>
        <w:rPr>
          <w:lang w:val="fr-CA"/>
        </w:rPr>
      </w:pPr>
    </w:p>
    <w:p w14:paraId="4458AB41" w14:textId="05C4DDEE" w:rsidR="00FF32BD" w:rsidRPr="00FF32BD" w:rsidRDefault="00FF32BD" w:rsidP="00E3529E">
      <w:pPr>
        <w:shd w:val="clear" w:color="auto" w:fill="D9D9D9" w:themeFill="background1" w:themeFillShade="D9"/>
        <w:jc w:val="both"/>
        <w:rPr>
          <w:b/>
          <w:bCs/>
          <w:lang w:val="fr-CA"/>
        </w:rPr>
      </w:pPr>
      <w:r w:rsidRPr="00FF32BD">
        <w:rPr>
          <w:b/>
          <w:bCs/>
          <w:lang w:val="fr-CA"/>
        </w:rPr>
        <w:t>Partage obligatoire des données (documents spécifiques)</w:t>
      </w:r>
    </w:p>
    <w:p w14:paraId="6C82B2C6" w14:textId="3EE491F7" w:rsidR="00FF32BD" w:rsidRDefault="008324AA" w:rsidP="008324AA">
      <w:pPr>
        <w:jc w:val="both"/>
        <w:rPr>
          <w:lang w:val="fr-CA"/>
        </w:rPr>
      </w:pPr>
      <w:r w:rsidRPr="008324AA">
        <w:rPr>
          <w:lang w:val="fr-CA"/>
        </w:rPr>
        <w:t>Déclaration indiquant si le partage des données est obligatoire pour certains types de données de recherche, par exemple lorsqu'il existe une politique spécifique à une communauté ou une revue</w:t>
      </w:r>
      <w:r>
        <w:rPr>
          <w:lang w:val="fr-CA"/>
        </w:rPr>
        <w:t xml:space="preserve">, </w:t>
      </w:r>
      <w:r w:rsidRPr="008324AA">
        <w:rPr>
          <w:lang w:val="fr-CA"/>
        </w:rPr>
        <w:t>ainsi que le ou les mécanismes par lesquels ces types de données doivent être partagés.</w:t>
      </w:r>
    </w:p>
    <w:p w14:paraId="61C091B0" w14:textId="33A1E86D" w:rsidR="008324AA" w:rsidRDefault="008324AA" w:rsidP="008324AA">
      <w:pPr>
        <w:jc w:val="both"/>
        <w:rPr>
          <w:lang w:val="fr-CA"/>
        </w:rPr>
      </w:pPr>
    </w:p>
    <w:p w14:paraId="655E6F1E" w14:textId="422BB787" w:rsidR="008324AA" w:rsidRDefault="008324AA" w:rsidP="008324AA">
      <w:pPr>
        <w:pBdr>
          <w:top w:val="single" w:sz="4" w:space="1" w:color="auto"/>
          <w:left w:val="single" w:sz="4" w:space="4" w:color="auto"/>
          <w:bottom w:val="single" w:sz="4" w:space="1" w:color="auto"/>
          <w:right w:val="single" w:sz="4" w:space="4" w:color="auto"/>
        </w:pBdr>
        <w:jc w:val="both"/>
        <w:rPr>
          <w:lang w:val="fr-CA"/>
        </w:rPr>
      </w:pPr>
      <w:r>
        <w:rPr>
          <w:lang w:val="fr-CA"/>
        </w:rPr>
        <w:t>Texte de référence proposé</w:t>
      </w:r>
    </w:p>
    <w:p w14:paraId="222C9055" w14:textId="151C4C1F" w:rsidR="008324AA" w:rsidRDefault="008324AA" w:rsidP="008324AA">
      <w:pPr>
        <w:jc w:val="both"/>
        <w:rPr>
          <w:lang w:val="fr-CA"/>
        </w:rPr>
      </w:pPr>
      <w:r w:rsidRPr="008324AA">
        <w:rPr>
          <w:lang w:val="fr-CA"/>
        </w:rPr>
        <w:t xml:space="preserve">Pour les types de données de recherche suivants, le dépôt dans un dépôt public reconnu par la communauté est obligatoire </w:t>
      </w:r>
      <w:r w:rsidRPr="008324AA">
        <w:rPr>
          <w:b/>
          <w:bCs/>
          <w:lang w:val="fr-CA"/>
        </w:rPr>
        <w:t>: &lt;lien vers la liste des types de données où le dépôt est obligatoire&gt;</w:t>
      </w:r>
      <w:r w:rsidRPr="008324AA">
        <w:rPr>
          <w:lang w:val="fr-CA"/>
        </w:rPr>
        <w:t>.</w:t>
      </w:r>
      <w:r>
        <w:rPr>
          <w:lang w:val="fr-CA"/>
        </w:rPr>
        <w:t xml:space="preserve"> </w:t>
      </w:r>
      <w:r w:rsidRPr="008324AA">
        <w:rPr>
          <w:lang w:val="fr-CA"/>
        </w:rPr>
        <w:t>La revue exigera comme condition de publication que les auteurs déposent les données de ce type dans un dépôt reconnu.</w:t>
      </w:r>
      <w:r>
        <w:rPr>
          <w:lang w:val="fr-CA"/>
        </w:rPr>
        <w:t xml:space="preserve"> (Politique type 4)</w:t>
      </w:r>
    </w:p>
    <w:p w14:paraId="79A0ECA4" w14:textId="2DA3564D" w:rsidR="008324AA" w:rsidRDefault="008324AA" w:rsidP="008324AA">
      <w:pPr>
        <w:jc w:val="both"/>
        <w:rPr>
          <w:lang w:val="fr-CA"/>
        </w:rPr>
      </w:pPr>
    </w:p>
    <w:p w14:paraId="6E329239" w14:textId="2C714B56" w:rsidR="008324AA" w:rsidRDefault="008324AA" w:rsidP="008324AA">
      <w:pPr>
        <w:jc w:val="both"/>
        <w:rPr>
          <w:lang w:val="fr-CA"/>
        </w:rPr>
      </w:pPr>
      <w:r w:rsidRPr="008324AA">
        <w:rPr>
          <w:lang w:val="fr-CA"/>
        </w:rPr>
        <w:t>La revue exige que toutes les données de recherche qui soutiennent les articles publiés dans la revue soient disponibles dans des dépôts publics, sauf celles couvertes par la « Définition des exceptions »</w:t>
      </w:r>
      <w:r>
        <w:rPr>
          <w:lang w:val="fr-CA"/>
        </w:rPr>
        <w:t xml:space="preserve"> (Politiques type 5 et 6)</w:t>
      </w:r>
    </w:p>
    <w:p w14:paraId="1163E9CD" w14:textId="410D22DB" w:rsidR="008324AA" w:rsidRDefault="008324AA" w:rsidP="006E239D">
      <w:pPr>
        <w:pBdr>
          <w:bottom w:val="single" w:sz="4" w:space="1" w:color="auto"/>
        </w:pBdr>
        <w:jc w:val="both"/>
        <w:rPr>
          <w:lang w:val="fr-CA"/>
        </w:rPr>
      </w:pPr>
    </w:p>
    <w:p w14:paraId="2FFF0D0B" w14:textId="0DE69B5B" w:rsidR="008324AA" w:rsidRDefault="008324AA" w:rsidP="008324AA">
      <w:pPr>
        <w:jc w:val="both"/>
        <w:rPr>
          <w:lang w:val="fr-CA"/>
        </w:rPr>
      </w:pPr>
    </w:p>
    <w:p w14:paraId="62E2A1F0" w14:textId="147F29C1" w:rsidR="006E239D" w:rsidRPr="006E239D" w:rsidRDefault="006E239D" w:rsidP="00E3529E">
      <w:pPr>
        <w:shd w:val="clear" w:color="auto" w:fill="D9D9D9" w:themeFill="background1" w:themeFillShade="D9"/>
        <w:jc w:val="both"/>
        <w:rPr>
          <w:b/>
          <w:bCs/>
          <w:lang w:val="fr-CA"/>
        </w:rPr>
      </w:pPr>
      <w:r w:rsidRPr="006E239D">
        <w:rPr>
          <w:b/>
          <w:bCs/>
          <w:lang w:val="fr-CA"/>
        </w:rPr>
        <w:t>Données de recherche et examen par les pairs</w:t>
      </w:r>
    </w:p>
    <w:p w14:paraId="14A14059" w14:textId="77777777" w:rsidR="00394B71" w:rsidRPr="00394B71" w:rsidRDefault="00394B71" w:rsidP="00394B71">
      <w:pPr>
        <w:jc w:val="both"/>
        <w:rPr>
          <w:lang w:val="fr-CA"/>
        </w:rPr>
      </w:pPr>
      <w:r w:rsidRPr="00394B71">
        <w:rPr>
          <w:lang w:val="fr-CA"/>
        </w:rPr>
        <w:t>Déclaration indiquant si l'examen des données par les pairs est prévu ou requis, et si oui, quelles sont les attentes des pairs examinateurs dans leur évaluation des fichiers de données.</w:t>
      </w:r>
    </w:p>
    <w:p w14:paraId="6D718AE1" w14:textId="3280DD67" w:rsidR="006E239D" w:rsidRDefault="00394B71" w:rsidP="00394B71">
      <w:pPr>
        <w:jc w:val="both"/>
        <w:rPr>
          <w:lang w:val="fr-CA"/>
        </w:rPr>
      </w:pPr>
      <w:r w:rsidRPr="00394B71">
        <w:rPr>
          <w:lang w:val="fr-CA"/>
        </w:rPr>
        <w:t>Il peut également ou alternativement être demandé aux examinateurs d'évaluer la conformité à la politique de la revue en matière de données de recherche.</w:t>
      </w:r>
    </w:p>
    <w:p w14:paraId="14BA7ABC" w14:textId="51032842" w:rsidR="008F4214" w:rsidRDefault="008F4214" w:rsidP="00394B71">
      <w:pPr>
        <w:jc w:val="both"/>
        <w:rPr>
          <w:lang w:val="fr-CA"/>
        </w:rPr>
      </w:pPr>
    </w:p>
    <w:p w14:paraId="012C3B08" w14:textId="26B9160E" w:rsidR="008F4214" w:rsidRDefault="008F4214" w:rsidP="008F4214">
      <w:pPr>
        <w:pBdr>
          <w:top w:val="single" w:sz="4" w:space="1" w:color="auto"/>
          <w:left w:val="single" w:sz="4" w:space="4" w:color="auto"/>
          <w:bottom w:val="single" w:sz="4" w:space="1" w:color="auto"/>
          <w:right w:val="single" w:sz="4" w:space="4" w:color="auto"/>
        </w:pBdr>
        <w:jc w:val="both"/>
        <w:rPr>
          <w:lang w:val="fr-CA"/>
        </w:rPr>
      </w:pPr>
      <w:r>
        <w:rPr>
          <w:lang w:val="fr-CA"/>
        </w:rPr>
        <w:t>Texte de référence</w:t>
      </w:r>
    </w:p>
    <w:p w14:paraId="39348600" w14:textId="04D1F0A3" w:rsidR="008F4214" w:rsidRDefault="008F4214" w:rsidP="00394B71">
      <w:pPr>
        <w:jc w:val="both"/>
        <w:rPr>
          <w:lang w:val="fr-CA"/>
        </w:rPr>
      </w:pPr>
      <w:r w:rsidRPr="008F4214">
        <w:rPr>
          <w:lang w:val="fr-CA"/>
        </w:rPr>
        <w:t>Les évaluateurs sont invités</w:t>
      </w:r>
      <w:r>
        <w:rPr>
          <w:lang w:val="fr-CA"/>
        </w:rPr>
        <w:t xml:space="preserve"> </w:t>
      </w:r>
      <w:r w:rsidRPr="008F4214">
        <w:rPr>
          <w:lang w:val="fr-CA"/>
        </w:rPr>
        <w:t>à vérifier</w:t>
      </w:r>
      <w:r>
        <w:rPr>
          <w:lang w:val="fr-CA"/>
        </w:rPr>
        <w:t xml:space="preserve"> (</w:t>
      </w:r>
      <w:r w:rsidRPr="008F4214">
        <w:rPr>
          <w:b/>
          <w:bCs/>
          <w:lang w:val="fr-CA"/>
        </w:rPr>
        <w:t>Note :</w:t>
      </w:r>
      <w:r>
        <w:rPr>
          <w:lang w:val="fr-CA"/>
        </w:rPr>
        <w:t xml:space="preserve"> Politique type 4</w:t>
      </w:r>
      <w:proofErr w:type="gramStart"/>
      <w:r>
        <w:rPr>
          <w:lang w:val="fr-CA"/>
        </w:rPr>
        <w:t>)</w:t>
      </w:r>
      <w:r w:rsidRPr="008F4214">
        <w:rPr>
          <w:lang w:val="fr-CA"/>
        </w:rPr>
        <w:t xml:space="preserve"> </w:t>
      </w:r>
      <w:r>
        <w:rPr>
          <w:lang w:val="fr-CA"/>
        </w:rPr>
        <w:t xml:space="preserve"> /</w:t>
      </w:r>
      <w:proofErr w:type="gramEnd"/>
      <w:r>
        <w:rPr>
          <w:lang w:val="fr-CA"/>
        </w:rPr>
        <w:t>/</w:t>
      </w:r>
      <w:r w:rsidRPr="008F4214">
        <w:rPr>
          <w:lang w:val="fr-CA"/>
        </w:rPr>
        <w:t xml:space="preserve"> sont encouragés à prendre en compte </w:t>
      </w:r>
      <w:r>
        <w:rPr>
          <w:lang w:val="fr-CA"/>
        </w:rPr>
        <w:t>(</w:t>
      </w:r>
      <w:r w:rsidRPr="008F4214">
        <w:rPr>
          <w:b/>
          <w:bCs/>
          <w:lang w:val="fr-CA"/>
        </w:rPr>
        <w:t>Note :</w:t>
      </w:r>
      <w:r>
        <w:rPr>
          <w:lang w:val="fr-CA"/>
        </w:rPr>
        <w:t xml:space="preserve"> Politique type 5) </w:t>
      </w:r>
      <w:r w:rsidRPr="008F4214">
        <w:rPr>
          <w:lang w:val="fr-CA"/>
        </w:rPr>
        <w:t xml:space="preserve">la déclaration d'accessibilité des données </w:t>
      </w:r>
      <w:r>
        <w:rPr>
          <w:lang w:val="fr-CA"/>
        </w:rPr>
        <w:t xml:space="preserve">(DAD) </w:t>
      </w:r>
      <w:r w:rsidRPr="008F4214">
        <w:rPr>
          <w:lang w:val="fr-CA"/>
        </w:rPr>
        <w:t>du manuscrit</w:t>
      </w:r>
      <w:r>
        <w:rPr>
          <w:lang w:val="fr-CA"/>
        </w:rPr>
        <w:t xml:space="preserve"> // </w:t>
      </w:r>
      <w:r w:rsidRPr="008F4214">
        <w:rPr>
          <w:lang w:val="fr-CA"/>
        </w:rPr>
        <w:t>sont tenus de prendre en compte la déclaration d'accessibilité aux données (DAD) d'un manuscrit, ainsi que les données de recherche correspondantes. Le cas échéant, ils doivent vérifier si les auteurs se sont conformés à la politique de la revue sur l'accessibilité des données de recherche et si des efforts raisonnables ont été faits pour que les données qui étayent les résultats de l'étude soient disponibles pour être reproduites ou réutilisées par d'autres chercheurs. Les évaluateurs ont le droit de demander l'accès aux données (et au code) appuyant les résultats lorsque cela est nécessaire pour effectuer leur évaluation d'un manuscrit.</w:t>
      </w:r>
    </w:p>
    <w:p w14:paraId="34CB0129" w14:textId="77777777" w:rsidR="008F4214" w:rsidRPr="008F4214" w:rsidRDefault="008F4214" w:rsidP="008F4214">
      <w:pPr>
        <w:spacing w:before="240"/>
        <w:jc w:val="both"/>
        <w:rPr>
          <w:lang w:val="fr-CA"/>
        </w:rPr>
      </w:pPr>
      <w:r>
        <w:rPr>
          <w:lang w:val="fr-CA"/>
        </w:rPr>
        <w:t xml:space="preserve">(Note : Politiques type 5 et 6) </w:t>
      </w:r>
      <w:r w:rsidRPr="008F4214">
        <w:rPr>
          <w:lang w:val="fr-CA"/>
        </w:rPr>
        <w:t>Pour la déclaration sur l'accessibilité des données, les évaluateurs devraient tenir compte des points suivants :</w:t>
      </w:r>
    </w:p>
    <w:p w14:paraId="6AF84EFE" w14:textId="77777777" w:rsidR="008F4214" w:rsidRPr="008F4214" w:rsidRDefault="008F4214" w:rsidP="008F4214">
      <w:pPr>
        <w:numPr>
          <w:ilvl w:val="0"/>
          <w:numId w:val="40"/>
        </w:numPr>
        <w:jc w:val="both"/>
        <w:rPr>
          <w:lang w:val="fr-CA"/>
        </w:rPr>
      </w:pPr>
      <w:r w:rsidRPr="008F4214">
        <w:rPr>
          <w:lang w:val="fr-CA"/>
        </w:rPr>
        <w:t>Une DAD appropriée a-t-elle été fournie?</w:t>
      </w:r>
    </w:p>
    <w:p w14:paraId="52FB62F4" w14:textId="77777777" w:rsidR="008F4214" w:rsidRPr="008F4214" w:rsidRDefault="008F4214" w:rsidP="008F4214">
      <w:pPr>
        <w:numPr>
          <w:ilvl w:val="0"/>
          <w:numId w:val="40"/>
        </w:numPr>
        <w:jc w:val="both"/>
        <w:rPr>
          <w:lang w:val="fr-CA"/>
        </w:rPr>
      </w:pPr>
      <w:r w:rsidRPr="008F4214">
        <w:rPr>
          <w:lang w:val="fr-CA"/>
        </w:rPr>
        <w:t>La manière dont un lecteur peut accéder aux données est-elle claire?</w:t>
      </w:r>
    </w:p>
    <w:p w14:paraId="11100E13" w14:textId="77777777" w:rsidR="008F4214" w:rsidRPr="008F4214" w:rsidRDefault="008F4214" w:rsidP="008F4214">
      <w:pPr>
        <w:numPr>
          <w:ilvl w:val="0"/>
          <w:numId w:val="30"/>
        </w:numPr>
        <w:jc w:val="both"/>
        <w:rPr>
          <w:lang w:val="fr-CA"/>
        </w:rPr>
      </w:pPr>
      <w:r w:rsidRPr="008F4214">
        <w:rPr>
          <w:lang w:val="fr-CA"/>
        </w:rPr>
        <w:t>Lorsque des liens sont fournis dans la DAD, sont-ils fonctionnels/valides?</w:t>
      </w:r>
    </w:p>
    <w:p w14:paraId="2FF8A3CE" w14:textId="77777777" w:rsidR="008F4214" w:rsidRPr="008F4214" w:rsidRDefault="008F4214" w:rsidP="008F4214">
      <w:pPr>
        <w:numPr>
          <w:ilvl w:val="0"/>
          <w:numId w:val="30"/>
        </w:numPr>
        <w:jc w:val="both"/>
        <w:rPr>
          <w:lang w:val="fr-CA"/>
        </w:rPr>
      </w:pPr>
      <w:r w:rsidRPr="008F4214">
        <w:rPr>
          <w:lang w:val="fr-CA"/>
        </w:rPr>
        <w:t>Lorsque l'accès aux données est restreint, les contrôles d'accès sont-ils justifiés et appropriés?</w:t>
      </w:r>
    </w:p>
    <w:p w14:paraId="70B0D273" w14:textId="77777777" w:rsidR="008F4214" w:rsidRPr="008F4214" w:rsidRDefault="008F4214" w:rsidP="008F4214">
      <w:pPr>
        <w:numPr>
          <w:ilvl w:val="0"/>
          <w:numId w:val="30"/>
        </w:numPr>
        <w:spacing w:after="240"/>
        <w:jc w:val="both"/>
        <w:rPr>
          <w:lang w:val="fr-CA"/>
        </w:rPr>
      </w:pPr>
      <w:r w:rsidRPr="008F4214">
        <w:rPr>
          <w:lang w:val="fr-CA"/>
        </w:rPr>
        <w:lastRenderedPageBreak/>
        <w:t>Lorsque les données sont décrites comme étant incluses dans le manuscrit ou dans les fichiers d'informations supplémentaires, est-ce exact?</w:t>
      </w:r>
    </w:p>
    <w:p w14:paraId="4A8683F5" w14:textId="77777777" w:rsidR="008F4214" w:rsidRPr="008F4214" w:rsidRDefault="008F4214" w:rsidP="008F4214">
      <w:pPr>
        <w:jc w:val="both"/>
        <w:rPr>
          <w:lang w:val="fr-CA"/>
        </w:rPr>
      </w:pPr>
      <w:r w:rsidRPr="008F4214">
        <w:rPr>
          <w:lang w:val="fr-CA"/>
        </w:rPr>
        <w:t>Pour les fichiers de données, lorsqu'ils sont disponibles, les évaluateurs devraient prendre en compte :</w:t>
      </w:r>
    </w:p>
    <w:p w14:paraId="25812359" w14:textId="77777777" w:rsidR="008F4214" w:rsidRPr="008F4214" w:rsidRDefault="008F4214" w:rsidP="008F4214">
      <w:pPr>
        <w:numPr>
          <w:ilvl w:val="0"/>
          <w:numId w:val="19"/>
        </w:numPr>
        <w:spacing w:before="240"/>
        <w:jc w:val="both"/>
        <w:rPr>
          <w:lang w:val="fr-CA"/>
        </w:rPr>
      </w:pPr>
      <w:r w:rsidRPr="008F4214">
        <w:rPr>
          <w:lang w:val="fr-CA"/>
        </w:rPr>
        <w:t>Les données se trouvent-elles dans le dépôt le plus approprié?</w:t>
      </w:r>
    </w:p>
    <w:p w14:paraId="6635E2E6" w14:textId="77777777" w:rsidR="008F4214" w:rsidRPr="008F4214" w:rsidRDefault="008F4214" w:rsidP="008F4214">
      <w:pPr>
        <w:numPr>
          <w:ilvl w:val="0"/>
          <w:numId w:val="19"/>
        </w:numPr>
        <w:jc w:val="both"/>
        <w:rPr>
          <w:lang w:val="fr-CA"/>
        </w:rPr>
      </w:pPr>
      <w:r w:rsidRPr="008F4214">
        <w:rPr>
          <w:lang w:val="fr-CA"/>
        </w:rPr>
        <w:t>Les données ont-elles été produites de manière rigoureuse et méthodologique?</w:t>
      </w:r>
    </w:p>
    <w:p w14:paraId="3C4E7C07" w14:textId="77777777" w:rsidR="008F4214" w:rsidRPr="008F4214" w:rsidRDefault="008F4214" w:rsidP="008F4214">
      <w:pPr>
        <w:numPr>
          <w:ilvl w:val="0"/>
          <w:numId w:val="19"/>
        </w:numPr>
        <w:jc w:val="both"/>
        <w:rPr>
          <w:lang w:val="fr-CA"/>
        </w:rPr>
      </w:pPr>
      <w:r w:rsidRPr="008F4214">
        <w:rPr>
          <w:lang w:val="fr-CA"/>
        </w:rPr>
        <w:t>Les données et les métadonnées sont-elles conformes au format de fichier et aux normes d'information de la communauté des chercheurs?</w:t>
      </w:r>
    </w:p>
    <w:p w14:paraId="6B48C661" w14:textId="77777777" w:rsidR="008F4214" w:rsidRDefault="008F4214" w:rsidP="008F4214">
      <w:pPr>
        <w:numPr>
          <w:ilvl w:val="0"/>
          <w:numId w:val="19"/>
        </w:numPr>
        <w:jc w:val="both"/>
        <w:rPr>
          <w:lang w:val="fr-CA"/>
        </w:rPr>
      </w:pPr>
      <w:r w:rsidRPr="008F4214">
        <w:rPr>
          <w:lang w:val="fr-CA"/>
        </w:rPr>
        <w:t>Les fichiers de données déposés par les auteurs sont-ils complets et correspondent-ils aux descriptions du manuscrit?</w:t>
      </w:r>
    </w:p>
    <w:p w14:paraId="02DFCD48" w14:textId="013BB985" w:rsidR="008F4214" w:rsidRPr="008F4214" w:rsidRDefault="008F4214" w:rsidP="008F4214">
      <w:pPr>
        <w:numPr>
          <w:ilvl w:val="0"/>
          <w:numId w:val="19"/>
        </w:numPr>
        <w:jc w:val="both"/>
        <w:rPr>
          <w:lang w:val="fr-CA"/>
        </w:rPr>
      </w:pPr>
      <w:r w:rsidRPr="008F4214">
        <w:rPr>
          <w:lang w:val="fr-CA"/>
        </w:rPr>
        <w:t>Contiennent-ils des informations personnelles identifiables, sensibles ou inappropriées?</w:t>
      </w:r>
    </w:p>
    <w:p w14:paraId="3D8F8539" w14:textId="45F6BA0B" w:rsidR="008F4214" w:rsidRDefault="008F4214" w:rsidP="008F4214">
      <w:pPr>
        <w:pBdr>
          <w:bottom w:val="single" w:sz="4" w:space="1" w:color="auto"/>
        </w:pBdr>
        <w:jc w:val="both"/>
        <w:rPr>
          <w:lang w:val="fr-CA"/>
        </w:rPr>
      </w:pPr>
    </w:p>
    <w:p w14:paraId="254C05C6" w14:textId="1BC0A484" w:rsidR="008F4214" w:rsidRDefault="008F4214" w:rsidP="00394B71">
      <w:pPr>
        <w:jc w:val="both"/>
        <w:rPr>
          <w:lang w:val="fr-CA"/>
        </w:rPr>
      </w:pPr>
    </w:p>
    <w:p w14:paraId="48741187" w14:textId="7FAB6B61" w:rsidR="008F4214" w:rsidRPr="008F4214" w:rsidRDefault="008F4214" w:rsidP="00E3529E">
      <w:pPr>
        <w:shd w:val="clear" w:color="auto" w:fill="D9D9D9" w:themeFill="background1" w:themeFillShade="D9"/>
        <w:jc w:val="both"/>
        <w:rPr>
          <w:b/>
          <w:bCs/>
          <w:lang w:val="fr-CA"/>
        </w:rPr>
      </w:pPr>
      <w:r w:rsidRPr="008F4214">
        <w:rPr>
          <w:b/>
          <w:bCs/>
          <w:lang w:val="fr-CA"/>
        </w:rPr>
        <w:t>Plan de gestion des données</w:t>
      </w:r>
    </w:p>
    <w:p w14:paraId="211E752F" w14:textId="35997078" w:rsidR="008F4214" w:rsidRDefault="00F432F2" w:rsidP="00394B71">
      <w:pPr>
        <w:jc w:val="both"/>
        <w:rPr>
          <w:lang w:val="fr-CA"/>
        </w:rPr>
      </w:pPr>
      <w:r w:rsidRPr="00F432F2">
        <w:rPr>
          <w:lang w:val="fr-CA"/>
        </w:rPr>
        <w:t>Ét</w:t>
      </w:r>
      <w:r>
        <w:rPr>
          <w:lang w:val="fr-CA"/>
        </w:rPr>
        <w:t>a</w:t>
      </w:r>
      <w:r w:rsidRPr="00F432F2">
        <w:rPr>
          <w:lang w:val="fr-CA"/>
        </w:rPr>
        <w:t>blit la position de la revue sur le partage des plans de gestion de données (PGD)</w:t>
      </w:r>
      <w:r>
        <w:rPr>
          <w:lang w:val="fr-CA"/>
        </w:rPr>
        <w:t>.</w:t>
      </w:r>
    </w:p>
    <w:p w14:paraId="31346F74" w14:textId="43A47AC0" w:rsidR="00F432F2" w:rsidRDefault="00F432F2" w:rsidP="00394B71">
      <w:pPr>
        <w:jc w:val="both"/>
        <w:rPr>
          <w:lang w:val="fr-CA"/>
        </w:rPr>
      </w:pPr>
    </w:p>
    <w:p w14:paraId="1805E7C7" w14:textId="1CF6F1B3" w:rsidR="00F432F2" w:rsidRDefault="00F432F2" w:rsidP="00F432F2">
      <w:pPr>
        <w:pBdr>
          <w:top w:val="single" w:sz="4" w:space="1" w:color="auto"/>
          <w:left w:val="single" w:sz="4" w:space="4" w:color="auto"/>
          <w:bottom w:val="single" w:sz="4" w:space="1" w:color="auto"/>
          <w:right w:val="single" w:sz="4" w:space="4" w:color="auto"/>
        </w:pBdr>
        <w:jc w:val="both"/>
        <w:rPr>
          <w:lang w:val="fr-CA"/>
        </w:rPr>
      </w:pPr>
      <w:r>
        <w:rPr>
          <w:lang w:val="fr-CA"/>
        </w:rPr>
        <w:t>Texte de référence</w:t>
      </w:r>
    </w:p>
    <w:p w14:paraId="41A565C6" w14:textId="4832B26F" w:rsidR="00F432F2" w:rsidRDefault="00356A79" w:rsidP="00394B71">
      <w:pPr>
        <w:jc w:val="both"/>
        <w:rPr>
          <w:lang w:val="fr-CA"/>
        </w:rPr>
      </w:pPr>
      <w:r w:rsidRPr="00356A79">
        <w:rPr>
          <w:lang w:val="fr-CA"/>
        </w:rPr>
        <w:t>La revue encourage les auteurs à préparer des plans de gestion des données avant de mener leurs recherches et encourage les auteurs à mettre ces plans à la disposition des éditeurs, des réviseurs et des lecteurs qui souhaitent les examiner.</w:t>
      </w:r>
    </w:p>
    <w:p w14:paraId="5BF41860" w14:textId="6D87251C" w:rsidR="00356A79" w:rsidRDefault="00356A79" w:rsidP="00356A79">
      <w:pPr>
        <w:pBdr>
          <w:bottom w:val="single" w:sz="4" w:space="1" w:color="auto"/>
        </w:pBdr>
        <w:jc w:val="both"/>
        <w:rPr>
          <w:lang w:val="fr-CA"/>
        </w:rPr>
      </w:pPr>
    </w:p>
    <w:p w14:paraId="74A79117" w14:textId="5B760B2D" w:rsidR="00356A79" w:rsidRDefault="00356A79" w:rsidP="00394B71">
      <w:pPr>
        <w:jc w:val="both"/>
        <w:rPr>
          <w:lang w:val="fr-CA"/>
        </w:rPr>
      </w:pPr>
    </w:p>
    <w:p w14:paraId="28438E15" w14:textId="435751D6" w:rsidR="006133CE" w:rsidRPr="00E3529E" w:rsidRDefault="006133CE" w:rsidP="00E3529E">
      <w:pPr>
        <w:jc w:val="both"/>
        <w:rPr>
          <w:lang w:val="fr-CA"/>
        </w:rPr>
      </w:pPr>
    </w:p>
    <w:sectPr w:rsidR="006133CE" w:rsidRPr="00E3529E">
      <w:headerReference w:type="default" r:id="rId22"/>
      <w:footerReference w:type="default" r:id="rId2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FB3AF" w14:textId="77777777" w:rsidR="001876D6" w:rsidRDefault="001876D6" w:rsidP="00D93303">
      <w:pPr>
        <w:spacing w:line="240" w:lineRule="auto"/>
      </w:pPr>
      <w:r>
        <w:separator/>
      </w:r>
    </w:p>
  </w:endnote>
  <w:endnote w:type="continuationSeparator" w:id="0">
    <w:p w14:paraId="0C6D59EA" w14:textId="77777777" w:rsidR="001876D6" w:rsidRDefault="001876D6" w:rsidP="00D933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2999109"/>
      <w:docPartObj>
        <w:docPartGallery w:val="Page Numbers (Bottom of Page)"/>
        <w:docPartUnique/>
      </w:docPartObj>
    </w:sdtPr>
    <w:sdtEndPr/>
    <w:sdtContent>
      <w:p w14:paraId="0F228847" w14:textId="44A9CD17" w:rsidR="00F3402C" w:rsidRDefault="00F3402C">
        <w:pPr>
          <w:pStyle w:val="Pieddepage"/>
          <w:jc w:val="right"/>
        </w:pPr>
        <w:r>
          <w:fldChar w:fldCharType="begin"/>
        </w:r>
        <w:r>
          <w:instrText>PAGE   \* MERGEFORMAT</w:instrText>
        </w:r>
        <w:r>
          <w:fldChar w:fldCharType="separate"/>
        </w:r>
        <w:r>
          <w:rPr>
            <w:lang w:val="fr-FR"/>
          </w:rPr>
          <w:t>2</w:t>
        </w:r>
        <w:r>
          <w:fldChar w:fldCharType="end"/>
        </w:r>
      </w:p>
    </w:sdtContent>
  </w:sdt>
  <w:p w14:paraId="6D54ED02" w14:textId="77777777" w:rsidR="00F3402C" w:rsidRDefault="00F3402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92BA4" w14:textId="77777777" w:rsidR="001876D6" w:rsidRDefault="001876D6" w:rsidP="00D93303">
      <w:pPr>
        <w:spacing w:line="240" w:lineRule="auto"/>
      </w:pPr>
      <w:r>
        <w:separator/>
      </w:r>
    </w:p>
  </w:footnote>
  <w:footnote w:type="continuationSeparator" w:id="0">
    <w:p w14:paraId="0ACBC9B0" w14:textId="77777777" w:rsidR="001876D6" w:rsidRDefault="001876D6" w:rsidP="00D93303">
      <w:pPr>
        <w:spacing w:line="240" w:lineRule="auto"/>
      </w:pPr>
      <w:r>
        <w:continuationSeparator/>
      </w:r>
    </w:p>
  </w:footnote>
  <w:footnote w:id="1">
    <w:p w14:paraId="2572542D" w14:textId="77777777" w:rsidR="00DA7CA1" w:rsidRPr="00E11F8E" w:rsidRDefault="00DA7CA1" w:rsidP="00D93303">
      <w:pPr>
        <w:pStyle w:val="Notedebasdepage"/>
      </w:pPr>
      <w:r>
        <w:rPr>
          <w:rStyle w:val="Appelnotedebasdep"/>
        </w:rPr>
        <w:footnoteRef/>
      </w:r>
      <w:r w:rsidRPr="003C6467">
        <w:rPr>
          <w:lang w:val="en-CA"/>
        </w:rPr>
        <w:t xml:space="preserve"> S</w:t>
      </w:r>
      <w:r>
        <w:rPr>
          <w:lang w:val="en-CA"/>
        </w:rPr>
        <w:t xml:space="preserve">pringer Nature, (2021). Research data Policies. </w:t>
      </w:r>
      <w:r w:rsidR="001876D6">
        <w:fldChar w:fldCharType="begin"/>
      </w:r>
      <w:r w:rsidR="001876D6" w:rsidRPr="00E11F8E">
        <w:rPr>
          <w:lang w:val="en-CA"/>
        </w:rPr>
        <w:instrText xml:space="preserve"> HYPERLINK "https://www.springernature.com/de/authors/research-data-policy/data-policy-types/12327096" </w:instrText>
      </w:r>
      <w:r w:rsidR="001876D6">
        <w:fldChar w:fldCharType="separate"/>
      </w:r>
      <w:r w:rsidRPr="00E11F8E">
        <w:rPr>
          <w:rStyle w:val="Lienhypertexte"/>
        </w:rPr>
        <w:t>https://www.springernature.com/de/authors/research-data-policy/data-policy-types/12327096</w:t>
      </w:r>
      <w:r w:rsidR="001876D6">
        <w:rPr>
          <w:rStyle w:val="Lienhypertexte"/>
          <w:lang w:val="en-CA"/>
        </w:rPr>
        <w:fldChar w:fldCharType="end"/>
      </w:r>
      <w:r w:rsidRPr="00E11F8E">
        <w:t xml:space="preserve"> </w:t>
      </w:r>
    </w:p>
  </w:footnote>
  <w:footnote w:id="2">
    <w:p w14:paraId="2E1410A6" w14:textId="77777777" w:rsidR="00DA7CA1" w:rsidRPr="005D5B34" w:rsidRDefault="00DA7CA1" w:rsidP="00D93303">
      <w:pPr>
        <w:pStyle w:val="Notedebasdepage"/>
      </w:pPr>
      <w:r>
        <w:rPr>
          <w:rStyle w:val="Appelnotedebasdep"/>
        </w:rPr>
        <w:footnoteRef/>
      </w:r>
      <w:r w:rsidRPr="003C6467">
        <w:rPr>
          <w:lang w:val="en-CA"/>
        </w:rPr>
        <w:t xml:space="preserve"> </w:t>
      </w:r>
      <w:proofErr w:type="spellStart"/>
      <w:r w:rsidRPr="003C6467">
        <w:rPr>
          <w:lang w:val="en-CA"/>
        </w:rPr>
        <w:t>Hrynaszkiewicz</w:t>
      </w:r>
      <w:proofErr w:type="spellEnd"/>
      <w:r w:rsidRPr="003C6467">
        <w:rPr>
          <w:lang w:val="en-CA"/>
        </w:rPr>
        <w:t xml:space="preserve">, I., Simons, N., Hussain, A., Grant, R., &amp; Goudie, S. (2020). </w:t>
      </w:r>
      <w:hyperlink r:id="rId1" w:history="1">
        <w:r w:rsidRPr="005D5B34">
          <w:rPr>
            <w:rStyle w:val="Lienhypertexte"/>
            <w:lang w:val="en-US"/>
          </w:rPr>
          <w:t>Developing a research data policy framework for all journals and publishers</w:t>
        </w:r>
      </w:hyperlink>
      <w:r w:rsidRPr="005D5B34">
        <w:rPr>
          <w:lang w:val="en-US"/>
        </w:rPr>
        <w:t>. </w:t>
      </w:r>
      <w:r w:rsidRPr="005D5B34">
        <w:rPr>
          <w:i/>
          <w:iCs/>
          <w:lang w:val="en-US"/>
        </w:rPr>
        <w:t>Data Science Journal</w:t>
      </w:r>
      <w:r w:rsidRPr="005D5B34">
        <w:rPr>
          <w:lang w:val="en-US"/>
        </w:rPr>
        <w:t>, </w:t>
      </w:r>
      <w:r w:rsidRPr="005D5B34">
        <w:rPr>
          <w:i/>
          <w:iCs/>
          <w:lang w:val="en-US"/>
        </w:rPr>
        <w:t>19</w:t>
      </w:r>
      <w:r w:rsidRPr="005D5B34">
        <w:rPr>
          <w:lang w:val="en-US"/>
        </w:rPr>
        <w:t>(1). DOI:10.5334/dsj-2020-005/</w:t>
      </w:r>
    </w:p>
    <w:p w14:paraId="52CF8306" w14:textId="77777777" w:rsidR="00DA7CA1" w:rsidRDefault="00DA7CA1" w:rsidP="00D93303">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F1BBB" w14:textId="46D106CF" w:rsidR="00F3402C" w:rsidRPr="00F3402C" w:rsidRDefault="00F3402C">
    <w:pPr>
      <w:pStyle w:val="En-tte"/>
      <w:rPr>
        <w:lang w:val="fr-CA"/>
      </w:rPr>
    </w:pPr>
    <w:r w:rsidRPr="00F3402C">
      <w:rPr>
        <w:lang w:val="fr-CA"/>
      </w:rPr>
      <w:t>Services des bibliothèques de l</w:t>
    </w:r>
    <w:r>
      <w:rPr>
        <w:lang w:val="fr-CA"/>
      </w:rPr>
      <w:t>’UQAM</w:t>
    </w:r>
    <w:r>
      <w:rPr>
        <w:lang w:val="fr-CA"/>
      </w:rPr>
      <w:tab/>
    </w:r>
    <w:r>
      <w:rPr>
        <w:lang w:val="fr-CA"/>
      </w:rPr>
      <w:tab/>
      <w:t>19 mai 2021</w:t>
    </w:r>
  </w:p>
  <w:p w14:paraId="42971CFD" w14:textId="77777777" w:rsidR="00F3402C" w:rsidRPr="00F3402C" w:rsidRDefault="00F3402C">
    <w:pPr>
      <w:pStyle w:val="En-tte"/>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9710C"/>
    <w:multiLevelType w:val="multilevel"/>
    <w:tmpl w:val="5D2608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704857"/>
    <w:multiLevelType w:val="multilevel"/>
    <w:tmpl w:val="F1F6F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C81955"/>
    <w:multiLevelType w:val="hybridMultilevel"/>
    <w:tmpl w:val="F74008A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DBB76C6"/>
    <w:multiLevelType w:val="multilevel"/>
    <w:tmpl w:val="A1667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306D7E"/>
    <w:multiLevelType w:val="multilevel"/>
    <w:tmpl w:val="AE9E8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6544DD"/>
    <w:multiLevelType w:val="multilevel"/>
    <w:tmpl w:val="18E6B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1755B4E"/>
    <w:multiLevelType w:val="multilevel"/>
    <w:tmpl w:val="121C3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5924158"/>
    <w:multiLevelType w:val="multilevel"/>
    <w:tmpl w:val="141A6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2661E1"/>
    <w:multiLevelType w:val="multilevel"/>
    <w:tmpl w:val="7F5EA3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E9A2568"/>
    <w:multiLevelType w:val="multilevel"/>
    <w:tmpl w:val="6B24C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F4F553B"/>
    <w:multiLevelType w:val="multilevel"/>
    <w:tmpl w:val="20DAD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25F3C44"/>
    <w:multiLevelType w:val="multilevel"/>
    <w:tmpl w:val="6ADE6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3B3543F"/>
    <w:multiLevelType w:val="multilevel"/>
    <w:tmpl w:val="998651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62B0BEB"/>
    <w:multiLevelType w:val="multilevel"/>
    <w:tmpl w:val="B63223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A8432E7"/>
    <w:multiLevelType w:val="multilevel"/>
    <w:tmpl w:val="EE2A4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D0C6BBF"/>
    <w:multiLevelType w:val="multilevel"/>
    <w:tmpl w:val="881658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0822494"/>
    <w:multiLevelType w:val="multilevel"/>
    <w:tmpl w:val="0F1873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3440406E"/>
    <w:multiLevelType w:val="multilevel"/>
    <w:tmpl w:val="FB72C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52A5B81"/>
    <w:multiLevelType w:val="multilevel"/>
    <w:tmpl w:val="7846A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8E73CD4"/>
    <w:multiLevelType w:val="multilevel"/>
    <w:tmpl w:val="A69667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AA47803"/>
    <w:multiLevelType w:val="multilevel"/>
    <w:tmpl w:val="CD5A9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B893FA7"/>
    <w:multiLevelType w:val="multilevel"/>
    <w:tmpl w:val="62EA4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4610E76"/>
    <w:multiLevelType w:val="hybridMultilevel"/>
    <w:tmpl w:val="134244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8924564"/>
    <w:multiLevelType w:val="multilevel"/>
    <w:tmpl w:val="9A564C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8B5793C"/>
    <w:multiLevelType w:val="hybridMultilevel"/>
    <w:tmpl w:val="65ACF3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49366BEE"/>
    <w:multiLevelType w:val="multilevel"/>
    <w:tmpl w:val="AEB62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DB31345"/>
    <w:multiLevelType w:val="multilevel"/>
    <w:tmpl w:val="D41CD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01C14FE"/>
    <w:multiLevelType w:val="multilevel"/>
    <w:tmpl w:val="0144C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06D1F6A"/>
    <w:multiLevelType w:val="multilevel"/>
    <w:tmpl w:val="6B24C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3B06022"/>
    <w:multiLevelType w:val="multilevel"/>
    <w:tmpl w:val="7D62B2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89763E4"/>
    <w:multiLevelType w:val="multilevel"/>
    <w:tmpl w:val="DA72F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A7223DC"/>
    <w:multiLevelType w:val="multilevel"/>
    <w:tmpl w:val="E2FEA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B8D6F83"/>
    <w:multiLevelType w:val="multilevel"/>
    <w:tmpl w:val="6CD24E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E397B58"/>
    <w:multiLevelType w:val="multilevel"/>
    <w:tmpl w:val="6CEC2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22F7F78"/>
    <w:multiLevelType w:val="multilevel"/>
    <w:tmpl w:val="D3A64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48F011E"/>
    <w:multiLevelType w:val="multilevel"/>
    <w:tmpl w:val="2C123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5DA18B7"/>
    <w:multiLevelType w:val="multilevel"/>
    <w:tmpl w:val="C37AB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6372AD4"/>
    <w:multiLevelType w:val="multilevel"/>
    <w:tmpl w:val="A838D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657716D"/>
    <w:multiLevelType w:val="multilevel"/>
    <w:tmpl w:val="6B24C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7F44F4F"/>
    <w:multiLevelType w:val="multilevel"/>
    <w:tmpl w:val="6B24C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831754A"/>
    <w:multiLevelType w:val="multilevel"/>
    <w:tmpl w:val="D4602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63B1064"/>
    <w:multiLevelType w:val="multilevel"/>
    <w:tmpl w:val="20B2CE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68D5FB3"/>
    <w:multiLevelType w:val="multilevel"/>
    <w:tmpl w:val="1C207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81F0D14"/>
    <w:multiLevelType w:val="multilevel"/>
    <w:tmpl w:val="DEECC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D9E7196"/>
    <w:multiLevelType w:val="multilevel"/>
    <w:tmpl w:val="A3C43E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5"/>
  </w:num>
  <w:num w:numId="3">
    <w:abstractNumId w:val="20"/>
  </w:num>
  <w:num w:numId="4">
    <w:abstractNumId w:val="30"/>
  </w:num>
  <w:num w:numId="5">
    <w:abstractNumId w:val="23"/>
  </w:num>
  <w:num w:numId="6">
    <w:abstractNumId w:val="0"/>
  </w:num>
  <w:num w:numId="7">
    <w:abstractNumId w:val="8"/>
  </w:num>
  <w:num w:numId="8">
    <w:abstractNumId w:val="43"/>
  </w:num>
  <w:num w:numId="9">
    <w:abstractNumId w:val="44"/>
  </w:num>
  <w:num w:numId="10">
    <w:abstractNumId w:val="36"/>
  </w:num>
  <w:num w:numId="11">
    <w:abstractNumId w:val="12"/>
  </w:num>
  <w:num w:numId="12">
    <w:abstractNumId w:val="16"/>
  </w:num>
  <w:num w:numId="13">
    <w:abstractNumId w:val="34"/>
  </w:num>
  <w:num w:numId="14">
    <w:abstractNumId w:val="40"/>
  </w:num>
  <w:num w:numId="15">
    <w:abstractNumId w:val="18"/>
  </w:num>
  <w:num w:numId="16">
    <w:abstractNumId w:val="29"/>
  </w:num>
  <w:num w:numId="17">
    <w:abstractNumId w:val="19"/>
  </w:num>
  <w:num w:numId="18">
    <w:abstractNumId w:val="41"/>
  </w:num>
  <w:num w:numId="19">
    <w:abstractNumId w:val="14"/>
  </w:num>
  <w:num w:numId="20">
    <w:abstractNumId w:val="4"/>
  </w:num>
  <w:num w:numId="21">
    <w:abstractNumId w:val="25"/>
  </w:num>
  <w:num w:numId="22">
    <w:abstractNumId w:val="37"/>
  </w:num>
  <w:num w:numId="23">
    <w:abstractNumId w:val="11"/>
  </w:num>
  <w:num w:numId="24">
    <w:abstractNumId w:val="26"/>
  </w:num>
  <w:num w:numId="25">
    <w:abstractNumId w:val="33"/>
  </w:num>
  <w:num w:numId="26">
    <w:abstractNumId w:val="21"/>
  </w:num>
  <w:num w:numId="27">
    <w:abstractNumId w:val="6"/>
  </w:num>
  <w:num w:numId="28">
    <w:abstractNumId w:val="1"/>
  </w:num>
  <w:num w:numId="29">
    <w:abstractNumId w:val="13"/>
  </w:num>
  <w:num w:numId="30">
    <w:abstractNumId w:val="17"/>
  </w:num>
  <w:num w:numId="31">
    <w:abstractNumId w:val="42"/>
  </w:num>
  <w:num w:numId="32">
    <w:abstractNumId w:val="35"/>
  </w:num>
  <w:num w:numId="33">
    <w:abstractNumId w:val="15"/>
  </w:num>
  <w:num w:numId="34">
    <w:abstractNumId w:val="3"/>
  </w:num>
  <w:num w:numId="35">
    <w:abstractNumId w:val="7"/>
  </w:num>
  <w:num w:numId="36">
    <w:abstractNumId w:val="32"/>
  </w:num>
  <w:num w:numId="37">
    <w:abstractNumId w:val="31"/>
  </w:num>
  <w:num w:numId="38">
    <w:abstractNumId w:val="38"/>
  </w:num>
  <w:num w:numId="39">
    <w:abstractNumId w:val="27"/>
  </w:num>
  <w:num w:numId="40">
    <w:abstractNumId w:val="24"/>
  </w:num>
  <w:num w:numId="41">
    <w:abstractNumId w:val="22"/>
  </w:num>
  <w:num w:numId="42">
    <w:abstractNumId w:val="2"/>
  </w:num>
  <w:num w:numId="43">
    <w:abstractNumId w:val="28"/>
  </w:num>
  <w:num w:numId="44">
    <w:abstractNumId w:val="9"/>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292"/>
    <w:rsid w:val="0002179A"/>
    <w:rsid w:val="000573ED"/>
    <w:rsid w:val="000577C6"/>
    <w:rsid w:val="0007514C"/>
    <w:rsid w:val="000868AF"/>
    <w:rsid w:val="000D4561"/>
    <w:rsid w:val="000F4A59"/>
    <w:rsid w:val="0011668E"/>
    <w:rsid w:val="00133B05"/>
    <w:rsid w:val="001443A7"/>
    <w:rsid w:val="00144650"/>
    <w:rsid w:val="001876D6"/>
    <w:rsid w:val="002123D7"/>
    <w:rsid w:val="00287B60"/>
    <w:rsid w:val="002A478F"/>
    <w:rsid w:val="002B2EC9"/>
    <w:rsid w:val="002C2885"/>
    <w:rsid w:val="002C2D54"/>
    <w:rsid w:val="002E421C"/>
    <w:rsid w:val="00356A79"/>
    <w:rsid w:val="00394B71"/>
    <w:rsid w:val="003E2A7B"/>
    <w:rsid w:val="003F4825"/>
    <w:rsid w:val="004141FF"/>
    <w:rsid w:val="004165B3"/>
    <w:rsid w:val="0042052B"/>
    <w:rsid w:val="004631D1"/>
    <w:rsid w:val="00470A8D"/>
    <w:rsid w:val="00477901"/>
    <w:rsid w:val="004C3436"/>
    <w:rsid w:val="004D59B3"/>
    <w:rsid w:val="004E1497"/>
    <w:rsid w:val="004E20DA"/>
    <w:rsid w:val="005146B7"/>
    <w:rsid w:val="00515A91"/>
    <w:rsid w:val="005879B8"/>
    <w:rsid w:val="005C354A"/>
    <w:rsid w:val="005D1356"/>
    <w:rsid w:val="005D7D93"/>
    <w:rsid w:val="006133CE"/>
    <w:rsid w:val="00677BBF"/>
    <w:rsid w:val="0069467B"/>
    <w:rsid w:val="006D7825"/>
    <w:rsid w:val="006E239D"/>
    <w:rsid w:val="0071409F"/>
    <w:rsid w:val="00721141"/>
    <w:rsid w:val="007616FA"/>
    <w:rsid w:val="00786EF8"/>
    <w:rsid w:val="007878FF"/>
    <w:rsid w:val="00794B2F"/>
    <w:rsid w:val="007A0746"/>
    <w:rsid w:val="007C78D8"/>
    <w:rsid w:val="007D45C0"/>
    <w:rsid w:val="00824F40"/>
    <w:rsid w:val="008324AA"/>
    <w:rsid w:val="008475FC"/>
    <w:rsid w:val="00894AF2"/>
    <w:rsid w:val="008B0EDE"/>
    <w:rsid w:val="008C3BE8"/>
    <w:rsid w:val="008F4214"/>
    <w:rsid w:val="009105D1"/>
    <w:rsid w:val="00944292"/>
    <w:rsid w:val="009E31EC"/>
    <w:rsid w:val="00A4546F"/>
    <w:rsid w:val="00A55A6B"/>
    <w:rsid w:val="00AC21EA"/>
    <w:rsid w:val="00AD3DE7"/>
    <w:rsid w:val="00B76C3A"/>
    <w:rsid w:val="00B85A11"/>
    <w:rsid w:val="00B95B8D"/>
    <w:rsid w:val="00BC26F4"/>
    <w:rsid w:val="00BD1C76"/>
    <w:rsid w:val="00C27D49"/>
    <w:rsid w:val="00C4026E"/>
    <w:rsid w:val="00C426E3"/>
    <w:rsid w:val="00CA41F9"/>
    <w:rsid w:val="00CD368B"/>
    <w:rsid w:val="00CD7907"/>
    <w:rsid w:val="00D14EB5"/>
    <w:rsid w:val="00D47943"/>
    <w:rsid w:val="00D6187A"/>
    <w:rsid w:val="00D750BB"/>
    <w:rsid w:val="00D81F49"/>
    <w:rsid w:val="00D85C39"/>
    <w:rsid w:val="00D93303"/>
    <w:rsid w:val="00D93786"/>
    <w:rsid w:val="00DA7CA1"/>
    <w:rsid w:val="00DC2E4F"/>
    <w:rsid w:val="00DD5826"/>
    <w:rsid w:val="00E021FA"/>
    <w:rsid w:val="00E11F8E"/>
    <w:rsid w:val="00E2746D"/>
    <w:rsid w:val="00E3529E"/>
    <w:rsid w:val="00E945E8"/>
    <w:rsid w:val="00E95B08"/>
    <w:rsid w:val="00EA7BC5"/>
    <w:rsid w:val="00EC2778"/>
    <w:rsid w:val="00F20E33"/>
    <w:rsid w:val="00F32EAE"/>
    <w:rsid w:val="00F3402C"/>
    <w:rsid w:val="00F432F2"/>
    <w:rsid w:val="00F66719"/>
    <w:rsid w:val="00F66A3F"/>
    <w:rsid w:val="00F942EF"/>
    <w:rsid w:val="00FF32BD"/>
    <w:rsid w:val="00FF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2DB395"/>
  <w15:docId w15:val="{8CA8D9D8-8802-4D6C-A6C9-515D92F55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table" w:customStyle="1" w:styleId="a">
    <w:basedOn w:val="TableauNormal"/>
    <w:tblPr>
      <w:tblStyleRowBandSize w:val="1"/>
      <w:tblStyleColBandSize w:val="1"/>
      <w:tblCellMar>
        <w:top w:w="100" w:type="dxa"/>
        <w:left w:w="100" w:type="dxa"/>
        <w:bottom w:w="100" w:type="dxa"/>
        <w:right w:w="100" w:type="dxa"/>
      </w:tblCellMar>
    </w:tblPr>
  </w:style>
  <w:style w:type="table" w:customStyle="1" w:styleId="a0">
    <w:basedOn w:val="TableauNormal"/>
    <w:tblPr>
      <w:tblStyleRowBandSize w:val="1"/>
      <w:tblStyleColBandSize w:val="1"/>
      <w:tblCellMar>
        <w:top w:w="100" w:type="dxa"/>
        <w:left w:w="100" w:type="dxa"/>
        <w:bottom w:w="100" w:type="dxa"/>
        <w:right w:w="100" w:type="dxa"/>
      </w:tblCellMar>
    </w:tblPr>
  </w:style>
  <w:style w:type="table" w:customStyle="1" w:styleId="a1">
    <w:basedOn w:val="TableauNormal"/>
    <w:tblPr>
      <w:tblStyleRowBandSize w:val="1"/>
      <w:tblStyleColBandSize w:val="1"/>
      <w:tblCellMar>
        <w:top w:w="100" w:type="dxa"/>
        <w:left w:w="100" w:type="dxa"/>
        <w:bottom w:w="100" w:type="dxa"/>
        <w:right w:w="100" w:type="dxa"/>
      </w:tblCellMar>
    </w:tblPr>
  </w:style>
  <w:style w:type="table" w:customStyle="1" w:styleId="a2">
    <w:basedOn w:val="TableauNormal"/>
    <w:tblPr>
      <w:tblStyleRowBandSize w:val="1"/>
      <w:tblStyleColBandSize w:val="1"/>
      <w:tblCellMar>
        <w:top w:w="100" w:type="dxa"/>
        <w:left w:w="100" w:type="dxa"/>
        <w:bottom w:w="100" w:type="dxa"/>
        <w:right w:w="100" w:type="dxa"/>
      </w:tblCellMar>
    </w:tblPr>
  </w:style>
  <w:style w:type="table" w:customStyle="1" w:styleId="a3">
    <w:basedOn w:val="TableauNormal"/>
    <w:tblPr>
      <w:tblStyleRowBandSize w:val="1"/>
      <w:tblStyleColBandSize w:val="1"/>
      <w:tblCellMar>
        <w:top w:w="100" w:type="dxa"/>
        <w:left w:w="100" w:type="dxa"/>
        <w:bottom w:w="100" w:type="dxa"/>
        <w:right w:w="100" w:type="dxa"/>
      </w:tblCellMar>
    </w:tblPr>
  </w:style>
  <w:style w:type="table" w:customStyle="1" w:styleId="a4">
    <w:basedOn w:val="TableauNormal"/>
    <w:tblPr>
      <w:tblStyleRowBandSize w:val="1"/>
      <w:tblStyleColBandSize w:val="1"/>
      <w:tblCellMar>
        <w:top w:w="100" w:type="dxa"/>
        <w:left w:w="100" w:type="dxa"/>
        <w:bottom w:w="100" w:type="dxa"/>
        <w:right w:w="100" w:type="dxa"/>
      </w:tblCellMar>
    </w:tblPr>
  </w:style>
  <w:style w:type="table" w:customStyle="1" w:styleId="a5">
    <w:basedOn w:val="TableauNormal"/>
    <w:tblPr>
      <w:tblStyleRowBandSize w:val="1"/>
      <w:tblStyleColBandSize w:val="1"/>
      <w:tblCellMar>
        <w:top w:w="100" w:type="dxa"/>
        <w:left w:w="100" w:type="dxa"/>
        <w:bottom w:w="100" w:type="dxa"/>
        <w:right w:w="100" w:type="dxa"/>
      </w:tblCellMar>
    </w:tblPr>
  </w:style>
  <w:style w:type="paragraph" w:styleId="Textedebulles">
    <w:name w:val="Balloon Text"/>
    <w:basedOn w:val="Normal"/>
    <w:link w:val="TextedebullesCar"/>
    <w:uiPriority w:val="99"/>
    <w:semiHidden/>
    <w:unhideWhenUsed/>
    <w:rsid w:val="00A4546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546F"/>
    <w:rPr>
      <w:rFonts w:ascii="Tahoma" w:hAnsi="Tahoma" w:cs="Tahoma"/>
      <w:sz w:val="16"/>
      <w:szCs w:val="16"/>
    </w:rPr>
  </w:style>
  <w:style w:type="character" w:styleId="Lienhypertexte">
    <w:name w:val="Hyperlink"/>
    <w:basedOn w:val="Policepardfaut"/>
    <w:uiPriority w:val="99"/>
    <w:unhideWhenUsed/>
    <w:rsid w:val="00721141"/>
    <w:rPr>
      <w:color w:val="0000FF" w:themeColor="hyperlink"/>
      <w:u w:val="single"/>
    </w:rPr>
  </w:style>
  <w:style w:type="character" w:styleId="Mentionnonrsolue">
    <w:name w:val="Unresolved Mention"/>
    <w:basedOn w:val="Policepardfaut"/>
    <w:uiPriority w:val="99"/>
    <w:semiHidden/>
    <w:unhideWhenUsed/>
    <w:rsid w:val="00721141"/>
    <w:rPr>
      <w:color w:val="605E5C"/>
      <w:shd w:val="clear" w:color="auto" w:fill="E1DFDD"/>
    </w:rPr>
  </w:style>
  <w:style w:type="paragraph" w:styleId="Paragraphedeliste">
    <w:name w:val="List Paragraph"/>
    <w:basedOn w:val="Normal"/>
    <w:uiPriority w:val="34"/>
    <w:qFormat/>
    <w:rsid w:val="005C354A"/>
    <w:pPr>
      <w:ind w:left="720"/>
      <w:contextualSpacing/>
    </w:pPr>
  </w:style>
  <w:style w:type="paragraph" w:styleId="Notedebasdepage">
    <w:name w:val="footnote text"/>
    <w:basedOn w:val="Normal"/>
    <w:link w:val="NotedebasdepageCar"/>
    <w:uiPriority w:val="99"/>
    <w:semiHidden/>
    <w:unhideWhenUsed/>
    <w:rsid w:val="00D93303"/>
    <w:pPr>
      <w:spacing w:line="240" w:lineRule="auto"/>
    </w:pPr>
    <w:rPr>
      <w:rFonts w:asciiTheme="minorHAnsi" w:eastAsiaTheme="minorHAnsi" w:hAnsiTheme="minorHAnsi" w:cstheme="minorBidi"/>
      <w:sz w:val="20"/>
      <w:szCs w:val="20"/>
      <w:lang w:val="fr-CA"/>
    </w:rPr>
  </w:style>
  <w:style w:type="character" w:customStyle="1" w:styleId="NotedebasdepageCar">
    <w:name w:val="Note de bas de page Car"/>
    <w:basedOn w:val="Policepardfaut"/>
    <w:link w:val="Notedebasdepage"/>
    <w:uiPriority w:val="99"/>
    <w:semiHidden/>
    <w:rsid w:val="00D93303"/>
    <w:rPr>
      <w:rFonts w:asciiTheme="minorHAnsi" w:eastAsiaTheme="minorHAnsi" w:hAnsiTheme="minorHAnsi" w:cstheme="minorBidi"/>
      <w:sz w:val="20"/>
      <w:szCs w:val="20"/>
      <w:lang w:val="fr-CA"/>
    </w:rPr>
  </w:style>
  <w:style w:type="character" w:styleId="Appelnotedebasdep">
    <w:name w:val="footnote reference"/>
    <w:basedOn w:val="Policepardfaut"/>
    <w:uiPriority w:val="99"/>
    <w:semiHidden/>
    <w:unhideWhenUsed/>
    <w:rsid w:val="00D93303"/>
    <w:rPr>
      <w:vertAlign w:val="superscript"/>
    </w:rPr>
  </w:style>
  <w:style w:type="character" w:styleId="Lienhypertextesuivivisit">
    <w:name w:val="FollowedHyperlink"/>
    <w:basedOn w:val="Policepardfaut"/>
    <w:uiPriority w:val="99"/>
    <w:semiHidden/>
    <w:unhideWhenUsed/>
    <w:rsid w:val="00D93303"/>
    <w:rPr>
      <w:color w:val="800080" w:themeColor="followedHyperlink"/>
      <w:u w:val="single"/>
    </w:rPr>
  </w:style>
  <w:style w:type="table" w:styleId="Grilledutableau">
    <w:name w:val="Table Grid"/>
    <w:basedOn w:val="TableauNormal"/>
    <w:uiPriority w:val="59"/>
    <w:rsid w:val="009105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3402C"/>
    <w:pPr>
      <w:tabs>
        <w:tab w:val="center" w:pos="4320"/>
        <w:tab w:val="right" w:pos="8640"/>
      </w:tabs>
      <w:spacing w:line="240" w:lineRule="auto"/>
    </w:pPr>
  </w:style>
  <w:style w:type="character" w:customStyle="1" w:styleId="En-tteCar">
    <w:name w:val="En-tête Car"/>
    <w:basedOn w:val="Policepardfaut"/>
    <w:link w:val="En-tte"/>
    <w:uiPriority w:val="99"/>
    <w:rsid w:val="00F3402C"/>
  </w:style>
  <w:style w:type="paragraph" w:styleId="Pieddepage">
    <w:name w:val="footer"/>
    <w:basedOn w:val="Normal"/>
    <w:link w:val="PieddepageCar"/>
    <w:uiPriority w:val="99"/>
    <w:unhideWhenUsed/>
    <w:rsid w:val="00F3402C"/>
    <w:pPr>
      <w:tabs>
        <w:tab w:val="center" w:pos="4320"/>
        <w:tab w:val="right" w:pos="8640"/>
      </w:tabs>
      <w:spacing w:line="240" w:lineRule="auto"/>
    </w:pPr>
  </w:style>
  <w:style w:type="character" w:customStyle="1" w:styleId="PieddepageCar">
    <w:name w:val="Pied de page Car"/>
    <w:basedOn w:val="Policepardfaut"/>
    <w:link w:val="Pieddepage"/>
    <w:uiPriority w:val="99"/>
    <w:rsid w:val="00F34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ouvrirlascience.fr/recommandations-aux-revues-souhaitant-definir-une-politique-de-donnees-liees-aux-publications/" TargetMode="External"/><Relationship Id="rId13" Type="http://schemas.openxmlformats.org/officeDocument/2006/relationships/hyperlink" Target="https://repositoryfinder.datacite.org/" TargetMode="External"/><Relationship Id="rId18" Type="http://schemas.openxmlformats.org/officeDocument/2006/relationships/hyperlink" Target="https://dataverse.scholarsportal.info/dataverse/uqam" TargetMode="External"/><Relationship Id="rId3" Type="http://schemas.openxmlformats.org/officeDocument/2006/relationships/settings" Target="settings.xml"/><Relationship Id="rId21" Type="http://schemas.openxmlformats.org/officeDocument/2006/relationships/hyperlink" Target="https://fairsharing.org/" TargetMode="External"/><Relationship Id="rId7" Type="http://schemas.openxmlformats.org/officeDocument/2006/relationships/hyperlink" Target="http://doi.org/10.5334/dsj-2020-005" TargetMode="External"/><Relationship Id="rId12" Type="http://schemas.openxmlformats.org/officeDocument/2006/relationships/hyperlink" Target="mailto:gdr@uqam.ca" TargetMode="External"/><Relationship Id="rId17" Type="http://schemas.openxmlformats.org/officeDocument/2006/relationships/hyperlink" Target="https://repositoryfinder.datacite.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atacite.org/cite-your-data.html" TargetMode="External"/><Relationship Id="rId20" Type="http://schemas.openxmlformats.org/officeDocument/2006/relationships/hyperlink" Target="https://datacite.org/cite-your-data.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ecd-ilibrary.org/sites/3631ee20-en/index.html?itemId=/content/component/3631ee20-e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ataverse.org/journals" TargetMode="External"/><Relationship Id="rId23" Type="http://schemas.openxmlformats.org/officeDocument/2006/relationships/footer" Target="footer1.xml"/><Relationship Id="rId10" Type="http://schemas.openxmlformats.org/officeDocument/2006/relationships/hyperlink" Target="https://casrai.org/term/research-data/" TargetMode="External"/><Relationship Id="rId19" Type="http://schemas.openxmlformats.org/officeDocument/2006/relationships/hyperlink" Target="https://dataverse.org/journals" TargetMode="External"/><Relationship Id="rId4" Type="http://schemas.openxmlformats.org/officeDocument/2006/relationships/webSettings" Target="webSettings.xml"/><Relationship Id="rId9" Type="http://schemas.openxmlformats.org/officeDocument/2006/relationships/hyperlink" Target="https://science.gc.ca/eic/site/063.nsf/fra/h_97609.html" TargetMode="External"/><Relationship Id="rId14" Type="http://schemas.openxmlformats.org/officeDocument/2006/relationships/hyperlink" Target="https://dataverse.scholarsportal.info/dataverse/uqam"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datascience.codata.org/article/10.5334/dsj-2020-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2555</TotalTime>
  <Pages>14</Pages>
  <Words>4469</Words>
  <Characters>24585</Characters>
  <Application>Microsoft Office Word</Application>
  <DocSecurity>0</DocSecurity>
  <Lines>204</Lines>
  <Paragraphs>57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by adguard</Company>
  <LinksUpToDate>false</LinksUpToDate>
  <CharactersWithSpaces>28997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Lisée, Cynthia</cp:lastModifiedBy>
  <cp:revision>29</cp:revision>
  <cp:lastPrinted>2020-01-31T07:01:00Z</cp:lastPrinted>
  <dcterms:created xsi:type="dcterms:W3CDTF">2021-05-17T20:43:00Z</dcterms:created>
  <dcterms:modified xsi:type="dcterms:W3CDTF">2021-11-03T20:35:00Z</dcterms:modified>
</cp:coreProperties>
</file>